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D7594" w14:textId="77777777" w:rsidR="00265A85" w:rsidRPr="008518F5" w:rsidRDefault="00265A85" w:rsidP="005B4561">
      <w:pPr>
        <w:ind w:right="-35"/>
        <w:rPr>
          <w:rFonts w:ascii="Bookman Old Style" w:hAnsi="Bookman Old Style" w:cs="Arial"/>
          <w:b/>
          <w:sz w:val="28"/>
          <w:szCs w:val="28"/>
          <w:lang w:val="el-GR"/>
        </w:rPr>
      </w:pPr>
      <w:bookmarkStart w:id="0" w:name="_GoBack"/>
      <w:bookmarkEnd w:id="0"/>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6E75F460" w14:textId="63AA21C0"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32D72">
        <w:rPr>
          <w:rFonts w:ascii="Bookman Old Style" w:hAnsi="Bookman Old Style" w:cs="Arial"/>
          <w:b/>
          <w:i/>
          <w:iCs/>
          <w:sz w:val="28"/>
          <w:szCs w:val="28"/>
          <w:lang w:val="el-GR"/>
        </w:rPr>
        <w:t>Έφε</w:t>
      </w:r>
      <w:r w:rsidR="00BC4F86" w:rsidRPr="008518F5">
        <w:rPr>
          <w:rFonts w:ascii="Bookman Old Style" w:hAnsi="Bookman Old Style" w:cs="Arial"/>
          <w:b/>
          <w:i/>
          <w:iCs/>
          <w:sz w:val="28"/>
          <w:szCs w:val="28"/>
          <w:lang w:val="el-GR"/>
        </w:rPr>
        <w:t>σ</w:t>
      </w:r>
      <w:r w:rsidR="002A631C" w:rsidRPr="008518F5">
        <w:rPr>
          <w:rFonts w:ascii="Bookman Old Style" w:hAnsi="Bookman Old Style" w:cs="Arial"/>
          <w:b/>
          <w:i/>
          <w:iCs/>
          <w:sz w:val="28"/>
          <w:szCs w:val="28"/>
          <w:lang w:val="el-GR"/>
        </w:rPr>
        <w:t xml:space="preserve">η </w:t>
      </w:r>
      <w:r w:rsidRPr="008518F5">
        <w:rPr>
          <w:rFonts w:ascii="Bookman Old Style" w:hAnsi="Bookman Old Style" w:cs="Arial"/>
          <w:b/>
          <w:i/>
          <w:iCs/>
          <w:sz w:val="28"/>
          <w:szCs w:val="28"/>
          <w:lang w:val="el-GR"/>
        </w:rPr>
        <w:t xml:space="preserve">Αρ. </w:t>
      </w:r>
      <w:r w:rsidR="00BA56C2">
        <w:rPr>
          <w:rFonts w:ascii="Bookman Old Style" w:hAnsi="Bookman Old Style" w:cs="Arial"/>
          <w:b/>
          <w:i/>
          <w:iCs/>
          <w:sz w:val="28"/>
          <w:szCs w:val="28"/>
          <w:lang w:val="el-GR"/>
        </w:rPr>
        <w:t>9</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w:t>
      </w:r>
      <w:r w:rsidR="000A0BB8" w:rsidRPr="0084117D">
        <w:rPr>
          <w:rFonts w:ascii="Bookman Old Style" w:hAnsi="Bookman Old Style" w:cs="Arial"/>
          <w:b/>
          <w:i/>
          <w:iCs/>
          <w:sz w:val="28"/>
          <w:szCs w:val="28"/>
          <w:lang w:val="el-GR"/>
        </w:rPr>
        <w:t>23</w:t>
      </w:r>
      <w:r w:rsidRPr="008518F5">
        <w:rPr>
          <w:rFonts w:ascii="Bookman Old Style" w:hAnsi="Bookman Old Style" w:cs="Arial"/>
          <w:b/>
          <w:i/>
          <w:iCs/>
          <w:sz w:val="28"/>
          <w:szCs w:val="28"/>
          <w:lang w:val="el-GR"/>
        </w:rPr>
        <w:t>)</w:t>
      </w:r>
    </w:p>
    <w:p w14:paraId="3E2D01FC" w14:textId="77777777" w:rsidR="00265A85" w:rsidRPr="008518F5" w:rsidRDefault="00265A85" w:rsidP="005B4561">
      <w:pPr>
        <w:ind w:right="-35"/>
        <w:jc w:val="center"/>
        <w:rPr>
          <w:rFonts w:ascii="Bookman Old Style" w:hAnsi="Bookman Old Style" w:cs="Arial"/>
          <w:i/>
          <w:iCs/>
          <w:sz w:val="28"/>
          <w:szCs w:val="28"/>
          <w:lang w:val="el-GR"/>
        </w:rPr>
      </w:pPr>
    </w:p>
    <w:p w14:paraId="46A39EE2" w14:textId="4033139C" w:rsidR="00265A85" w:rsidRDefault="000B29B3" w:rsidP="005B4561">
      <w:pPr>
        <w:ind w:right="-35"/>
        <w:jc w:val="center"/>
        <w:rPr>
          <w:rFonts w:ascii="Bookman Old Style" w:hAnsi="Bookman Old Style" w:cs="Arial"/>
          <w:b/>
          <w:sz w:val="28"/>
          <w:szCs w:val="28"/>
          <w:lang w:val="el-GR"/>
        </w:rPr>
      </w:pPr>
      <w:r>
        <w:rPr>
          <w:rFonts w:ascii="Bookman Old Style" w:hAnsi="Bookman Old Style" w:cs="Arial"/>
          <w:b/>
          <w:sz w:val="28"/>
          <w:szCs w:val="28"/>
          <w:lang w:val="el-GR"/>
        </w:rPr>
        <w:t xml:space="preserve">22 </w:t>
      </w:r>
      <w:r w:rsidR="0014290A">
        <w:rPr>
          <w:rFonts w:ascii="Bookman Old Style" w:hAnsi="Bookman Old Style" w:cs="Arial"/>
          <w:b/>
          <w:sz w:val="28"/>
          <w:szCs w:val="28"/>
          <w:lang w:val="el-GR"/>
        </w:rPr>
        <w:t>Μαρτίου,</w:t>
      </w:r>
      <w:r w:rsidR="00422938" w:rsidRPr="008518F5">
        <w:rPr>
          <w:rFonts w:ascii="Bookman Old Style" w:hAnsi="Bookman Old Style" w:cs="Arial"/>
          <w:b/>
          <w:sz w:val="28"/>
          <w:szCs w:val="28"/>
          <w:lang w:val="el-GR"/>
        </w:rPr>
        <w:t xml:space="preserve"> 202</w:t>
      </w:r>
      <w:r w:rsidR="007A32F4">
        <w:rPr>
          <w:rFonts w:ascii="Bookman Old Style" w:hAnsi="Bookman Old Style" w:cs="Arial"/>
          <w:b/>
          <w:sz w:val="28"/>
          <w:szCs w:val="28"/>
          <w:lang w:val="el-GR"/>
        </w:rPr>
        <w:t>4</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2D4D4441" w14:textId="5DD63873"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Δ/στές]</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21BBBF6F" w14:textId="77777777" w:rsidR="00265A85" w:rsidRPr="008518F5" w:rsidRDefault="00265A85" w:rsidP="005B4561">
      <w:pPr>
        <w:ind w:right="-35"/>
        <w:rPr>
          <w:rFonts w:ascii="Bookman Old Style" w:hAnsi="Bookman Old Style" w:cs="Arial"/>
          <w:sz w:val="28"/>
          <w:szCs w:val="28"/>
          <w:u w:val="single"/>
          <w:lang w:val="el-GR"/>
        </w:rPr>
      </w:pPr>
    </w:p>
    <w:p w14:paraId="3FB8E41A" w14:textId="77777777" w:rsidR="00B32D72" w:rsidRDefault="00B32D72" w:rsidP="0014290A">
      <w:pPr>
        <w:spacing w:line="276" w:lineRule="auto"/>
        <w:ind w:right="-35"/>
        <w:jc w:val="both"/>
        <w:rPr>
          <w:rFonts w:ascii="Bookman Old Style" w:hAnsi="Bookman Old Style" w:cs="Arial"/>
          <w:bCs/>
          <w:sz w:val="28"/>
          <w:szCs w:val="28"/>
          <w:u w:val="single"/>
          <w:lang w:val="el-GR"/>
        </w:rPr>
      </w:pPr>
      <w:r>
        <w:rPr>
          <w:rFonts w:ascii="Bookman Old Style" w:hAnsi="Bookman Old Style" w:cs="Arial"/>
          <w:bCs/>
          <w:sz w:val="28"/>
          <w:szCs w:val="28"/>
          <w:u w:val="single"/>
          <w:lang w:val="el-GR"/>
        </w:rPr>
        <w:t>ΚΑΤ’ ΕΦΕΣΙΝ ΤΟΥ ΑΝΩΤΑΤΟΥ ΔΙΚΑΣΤΗΡΙΟΥ ΣΤΗΝ ΠΟΛΙΤΙΚΗ ΑΙΤΗΣΗ 172/2022 ΓΙΑ ΕΚΔΟΣΗ ΠΡΟΝΟΜΙΑΚΟΥ ΕΝΤΑΛΜΑΤΟΣ</w:t>
      </w:r>
    </w:p>
    <w:p w14:paraId="3CABC6C0" w14:textId="77777777" w:rsidR="00B32D72" w:rsidRPr="00B32D72" w:rsidRDefault="00B32D72" w:rsidP="0014290A">
      <w:pPr>
        <w:spacing w:line="276" w:lineRule="auto"/>
        <w:ind w:right="-35"/>
        <w:rPr>
          <w:rFonts w:ascii="Bookman Old Style" w:hAnsi="Bookman Old Style" w:cs="Arial"/>
          <w:bCs/>
          <w:sz w:val="28"/>
          <w:szCs w:val="28"/>
          <w:lang w:val="el-GR"/>
        </w:rPr>
      </w:pPr>
    </w:p>
    <w:p w14:paraId="1788219F" w14:textId="77777777" w:rsidR="00B32D72" w:rsidRDefault="00B32D72" w:rsidP="0014290A">
      <w:pPr>
        <w:spacing w:line="276" w:lineRule="auto"/>
        <w:ind w:right="-35"/>
        <w:jc w:val="center"/>
        <w:rPr>
          <w:rFonts w:ascii="Bookman Old Style" w:hAnsi="Bookman Old Style" w:cs="Arial"/>
          <w:sz w:val="28"/>
          <w:szCs w:val="28"/>
          <w:lang w:val="el-GR"/>
        </w:rPr>
      </w:pPr>
    </w:p>
    <w:p w14:paraId="1E1290A8" w14:textId="2D361FE3" w:rsidR="0084117D" w:rsidRPr="009079F3" w:rsidRDefault="0084117D" w:rsidP="0014290A">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w:t>
      </w:r>
    </w:p>
    <w:p w14:paraId="49444DF4" w14:textId="77777777" w:rsidR="0084117D" w:rsidRDefault="0084117D" w:rsidP="0014290A">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5C6F6A12" w14:textId="77777777" w:rsidR="0084117D" w:rsidRDefault="0084117D" w:rsidP="0014290A">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39452BFA" w14:textId="77777777" w:rsidR="0084117D" w:rsidRDefault="0084117D" w:rsidP="0014290A">
      <w:pPr>
        <w:pStyle w:val="Bodytext20"/>
        <w:shd w:val="clear" w:color="auto" w:fill="auto"/>
        <w:spacing w:before="0" w:line="276" w:lineRule="auto"/>
        <w:ind w:right="-35"/>
        <w:rPr>
          <w:rFonts w:ascii="Bookman Old Style" w:hAnsi="Bookman Old Style"/>
          <w:color w:val="000000"/>
          <w:sz w:val="28"/>
          <w:szCs w:val="28"/>
          <w:lang w:bidi="el-GR"/>
        </w:rPr>
      </w:pPr>
    </w:p>
    <w:p w14:paraId="2DB4DDD4" w14:textId="5338045A" w:rsidR="0084117D" w:rsidRPr="009079F3" w:rsidRDefault="0084117D" w:rsidP="0014290A">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 ΚΑΝΟΝΙΣΜΟ ΤΟΥ 2018</w:t>
      </w:r>
      <w:r w:rsidR="003B70A7" w:rsidRPr="003B70A7">
        <w:rPr>
          <w:rFonts w:ascii="Bookman Old Style" w:hAnsi="Bookman Old Style"/>
          <w:color w:val="000000"/>
          <w:sz w:val="28"/>
          <w:szCs w:val="28"/>
          <w:lang w:bidi="el-GR"/>
        </w:rPr>
        <w:t xml:space="preserve"> (5/2018)</w:t>
      </w:r>
    </w:p>
    <w:p w14:paraId="0EAED6D9" w14:textId="77777777" w:rsidR="0084117D" w:rsidRDefault="0084117D" w:rsidP="0014290A">
      <w:pPr>
        <w:pStyle w:val="Bodytext20"/>
        <w:shd w:val="clear" w:color="auto" w:fill="auto"/>
        <w:spacing w:before="0" w:line="276" w:lineRule="auto"/>
        <w:ind w:right="-35"/>
        <w:jc w:val="center"/>
        <w:rPr>
          <w:rFonts w:ascii="Bookman Old Style" w:hAnsi="Bookman Old Style"/>
          <w:color w:val="000000"/>
          <w:sz w:val="28"/>
          <w:szCs w:val="28"/>
          <w:lang w:bidi="el-GR"/>
        </w:rPr>
      </w:pPr>
    </w:p>
    <w:p w14:paraId="64750B96" w14:textId="77777777" w:rsidR="0084117D" w:rsidRDefault="0084117D" w:rsidP="0014290A">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794A61A4" w14:textId="77777777" w:rsidR="0084117D" w:rsidRDefault="0084117D" w:rsidP="0014290A">
      <w:pPr>
        <w:pStyle w:val="Bodytext20"/>
        <w:shd w:val="clear" w:color="auto" w:fill="auto"/>
        <w:spacing w:before="0" w:line="276" w:lineRule="auto"/>
        <w:ind w:right="-35"/>
        <w:rPr>
          <w:rFonts w:ascii="Bookman Old Style" w:hAnsi="Bookman Old Style"/>
          <w:color w:val="000000"/>
          <w:sz w:val="28"/>
          <w:szCs w:val="28"/>
          <w:lang w:bidi="el-GR"/>
        </w:rPr>
      </w:pPr>
    </w:p>
    <w:p w14:paraId="3590BCDA" w14:textId="2048738A" w:rsidR="0084117D" w:rsidRPr="009079F3" w:rsidRDefault="0084117D" w:rsidP="0014290A">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ΑΙΤΗΣΗ Τ</w:t>
      </w:r>
      <w:r w:rsidR="003B70A7">
        <w:rPr>
          <w:rFonts w:ascii="Bookman Old Style" w:hAnsi="Bookman Old Style"/>
          <w:color w:val="000000"/>
          <w:sz w:val="28"/>
          <w:szCs w:val="28"/>
          <w:lang w:bidi="el-GR"/>
        </w:rPr>
        <w:t>ΗΣ</w:t>
      </w:r>
      <w:r w:rsidR="003B70A7" w:rsidRPr="003B70A7">
        <w:rPr>
          <w:rFonts w:ascii="Bookman Old Style" w:hAnsi="Bookman Old Style"/>
          <w:color w:val="000000"/>
          <w:sz w:val="28"/>
          <w:szCs w:val="28"/>
          <w:lang w:bidi="el-GR"/>
        </w:rPr>
        <w:t xml:space="preserve"> </w:t>
      </w:r>
      <w:r w:rsidR="003B70A7">
        <w:rPr>
          <w:rFonts w:ascii="Bookman Old Style" w:hAnsi="Bookman Old Style"/>
          <w:color w:val="000000"/>
          <w:sz w:val="28"/>
          <w:szCs w:val="28"/>
          <w:lang w:val="en-US" w:bidi="el-GR"/>
        </w:rPr>
        <w:t>LANDRIAN</w:t>
      </w:r>
      <w:r w:rsidR="003B70A7" w:rsidRPr="003B70A7">
        <w:rPr>
          <w:rFonts w:ascii="Bookman Old Style" w:hAnsi="Bookman Old Style"/>
          <w:color w:val="000000"/>
          <w:sz w:val="28"/>
          <w:szCs w:val="28"/>
          <w:lang w:bidi="el-GR"/>
        </w:rPr>
        <w:t xml:space="preserve"> </w:t>
      </w:r>
      <w:r w:rsidR="003B70A7">
        <w:rPr>
          <w:rFonts w:ascii="Bookman Old Style" w:hAnsi="Bookman Old Style"/>
          <w:color w:val="000000"/>
          <w:sz w:val="28"/>
          <w:szCs w:val="28"/>
          <w:lang w:val="en-US" w:bidi="el-GR"/>
        </w:rPr>
        <w:t>ESTATES</w:t>
      </w:r>
      <w:r w:rsidR="003B70A7" w:rsidRPr="003B70A7">
        <w:rPr>
          <w:rFonts w:ascii="Bookman Old Style" w:hAnsi="Bookman Old Style"/>
          <w:color w:val="000000"/>
          <w:sz w:val="28"/>
          <w:szCs w:val="28"/>
          <w:lang w:bidi="el-GR"/>
        </w:rPr>
        <w:t xml:space="preserve"> </w:t>
      </w:r>
      <w:r w:rsidR="003B70A7">
        <w:rPr>
          <w:rFonts w:ascii="Bookman Old Style" w:hAnsi="Bookman Old Style"/>
          <w:color w:val="000000"/>
          <w:sz w:val="28"/>
          <w:szCs w:val="28"/>
          <w:lang w:val="en-US" w:bidi="el-GR"/>
        </w:rPr>
        <w:t>LTD</w:t>
      </w:r>
      <w:r w:rsidR="003B70A7" w:rsidRPr="003B70A7">
        <w:rPr>
          <w:rFonts w:ascii="Bookman Old Style" w:hAnsi="Bookman Old Style"/>
          <w:color w:val="000000"/>
          <w:sz w:val="28"/>
          <w:szCs w:val="28"/>
          <w:lang w:bidi="el-GR"/>
        </w:rPr>
        <w:t xml:space="preserve"> </w:t>
      </w:r>
      <w:r w:rsidR="003B70A7">
        <w:rPr>
          <w:rFonts w:ascii="Bookman Old Style" w:hAnsi="Bookman Old Style"/>
          <w:color w:val="000000"/>
          <w:sz w:val="28"/>
          <w:szCs w:val="28"/>
          <w:lang w:bidi="el-GR"/>
        </w:rPr>
        <w:t xml:space="preserve">ΑΠΟ ΤΗ ΛΕΜΕΣΟ ΓΙΑ </w:t>
      </w:r>
      <w:r>
        <w:rPr>
          <w:rFonts w:ascii="Bookman Old Style" w:hAnsi="Bookman Old Style"/>
          <w:color w:val="000000"/>
          <w:sz w:val="28"/>
          <w:szCs w:val="28"/>
          <w:lang w:bidi="el-GR"/>
        </w:rPr>
        <w:t xml:space="preserve">ΤΗΝ ΕΚΔΟΣΗ </w:t>
      </w:r>
      <w:r w:rsidR="003B70A7">
        <w:rPr>
          <w:rFonts w:ascii="Bookman Old Style" w:hAnsi="Bookman Old Style"/>
          <w:color w:val="000000"/>
          <w:sz w:val="28"/>
          <w:szCs w:val="28"/>
          <w:lang w:bidi="el-GR"/>
        </w:rPr>
        <w:t>ΔΙΑΤΑΓ</w:t>
      </w:r>
      <w:r>
        <w:rPr>
          <w:rFonts w:ascii="Bookman Old Style" w:hAnsi="Bookman Old Style"/>
          <w:color w:val="000000"/>
          <w:sz w:val="28"/>
          <w:szCs w:val="28"/>
          <w:lang w:bidi="el-GR"/>
        </w:rPr>
        <w:t>ΜΑΤΟΣ</w:t>
      </w:r>
      <w:r w:rsidR="003B70A7">
        <w:rPr>
          <w:rFonts w:ascii="Bookman Old Style" w:hAnsi="Bookman Old Style"/>
          <w:color w:val="000000"/>
          <w:sz w:val="28"/>
          <w:szCs w:val="28"/>
          <w:lang w:bidi="el-GR"/>
        </w:rPr>
        <w:t xml:space="preserve"> ΦΥΣΕΩΣ</w:t>
      </w:r>
      <w:r>
        <w:rPr>
          <w:rFonts w:ascii="Bookman Old Style" w:hAnsi="Bookman Old Style"/>
          <w:color w:val="000000"/>
          <w:sz w:val="28"/>
          <w:szCs w:val="28"/>
          <w:lang w:bidi="el-GR"/>
        </w:rPr>
        <w:t xml:space="preserve"> </w:t>
      </w:r>
      <w:r>
        <w:rPr>
          <w:rFonts w:ascii="Bookman Old Style" w:hAnsi="Bookman Old Style"/>
          <w:color w:val="000000"/>
          <w:sz w:val="28"/>
          <w:szCs w:val="28"/>
          <w:lang w:val="en-US" w:bidi="el-GR"/>
        </w:rPr>
        <w:t>CERTIORARI</w:t>
      </w:r>
      <w:r w:rsidR="003B70A7">
        <w:rPr>
          <w:rFonts w:ascii="Bookman Old Style" w:hAnsi="Bookman Old Style"/>
          <w:color w:val="000000"/>
          <w:sz w:val="28"/>
          <w:szCs w:val="28"/>
          <w:lang w:bidi="el-GR"/>
        </w:rPr>
        <w:t xml:space="preserve"> ΚΑΙ</w:t>
      </w:r>
      <w:r w:rsidR="003B70A7" w:rsidRPr="003B70A7">
        <w:rPr>
          <w:rFonts w:ascii="Bookman Old Style" w:hAnsi="Bookman Old Style"/>
          <w:color w:val="000000"/>
          <w:sz w:val="28"/>
          <w:szCs w:val="28"/>
          <w:lang w:bidi="el-GR"/>
        </w:rPr>
        <w:t xml:space="preserve"> </w:t>
      </w:r>
      <w:r w:rsidR="003B70A7">
        <w:rPr>
          <w:rFonts w:ascii="Bookman Old Style" w:hAnsi="Bookman Old Style"/>
          <w:color w:val="000000"/>
          <w:sz w:val="28"/>
          <w:szCs w:val="28"/>
          <w:lang w:val="en-US" w:bidi="el-GR"/>
        </w:rPr>
        <w:t>PROHIBITION</w:t>
      </w:r>
    </w:p>
    <w:p w14:paraId="0CA9BCCF" w14:textId="77777777" w:rsidR="0084117D" w:rsidRDefault="0084117D" w:rsidP="0014290A">
      <w:pPr>
        <w:pStyle w:val="Bodytext20"/>
        <w:shd w:val="clear" w:color="auto" w:fill="auto"/>
        <w:spacing w:before="0" w:line="276" w:lineRule="auto"/>
        <w:ind w:right="-35"/>
        <w:rPr>
          <w:rFonts w:ascii="Bookman Old Style" w:hAnsi="Bookman Old Style"/>
          <w:color w:val="000000"/>
          <w:sz w:val="28"/>
          <w:szCs w:val="28"/>
          <w:lang w:bidi="el-GR"/>
        </w:rPr>
      </w:pPr>
    </w:p>
    <w:p w14:paraId="66BCFADB" w14:textId="77777777" w:rsidR="0084117D" w:rsidRDefault="0084117D" w:rsidP="0014290A">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7AF0A375" w14:textId="77777777" w:rsidR="0084117D" w:rsidRDefault="0084117D" w:rsidP="0014290A">
      <w:pPr>
        <w:pStyle w:val="Bodytext20"/>
        <w:shd w:val="clear" w:color="auto" w:fill="auto"/>
        <w:spacing w:before="0" w:line="276" w:lineRule="auto"/>
        <w:ind w:right="-35"/>
        <w:rPr>
          <w:rFonts w:ascii="Bookman Old Style" w:hAnsi="Bookman Old Style"/>
          <w:color w:val="000000"/>
          <w:sz w:val="28"/>
          <w:szCs w:val="28"/>
          <w:lang w:bidi="el-GR"/>
        </w:rPr>
      </w:pPr>
    </w:p>
    <w:p w14:paraId="503EB566" w14:textId="7E627EA7" w:rsidR="003B70A7" w:rsidRDefault="0084117D" w:rsidP="0014290A">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w:t>
      </w:r>
      <w:r w:rsidR="003B70A7" w:rsidRPr="003B70A7">
        <w:rPr>
          <w:rFonts w:ascii="Bookman Old Style" w:hAnsi="Bookman Old Style"/>
          <w:color w:val="000000"/>
          <w:sz w:val="28"/>
          <w:szCs w:val="28"/>
          <w:lang w:bidi="el-GR"/>
        </w:rPr>
        <w:t xml:space="preserve"> </w:t>
      </w:r>
      <w:r w:rsidR="003B70A7">
        <w:rPr>
          <w:rFonts w:ascii="Bookman Old Style" w:hAnsi="Bookman Old Style"/>
          <w:color w:val="000000"/>
          <w:sz w:val="28"/>
          <w:szCs w:val="28"/>
          <w:lang w:bidi="el-GR"/>
        </w:rPr>
        <w:t>ΔΙΑΤΑΓΜΑ/ΑΠΟΦΑΣΗ Τ</w:t>
      </w:r>
      <w:r>
        <w:rPr>
          <w:rFonts w:ascii="Bookman Old Style" w:hAnsi="Bookman Old Style"/>
          <w:color w:val="000000"/>
          <w:sz w:val="28"/>
          <w:szCs w:val="28"/>
          <w:lang w:bidi="el-GR"/>
        </w:rPr>
        <w:t>Ο</w:t>
      </w:r>
      <w:r w:rsidR="003B70A7">
        <w:rPr>
          <w:rFonts w:ascii="Bookman Old Style" w:hAnsi="Bookman Old Style"/>
          <w:color w:val="000000"/>
          <w:sz w:val="28"/>
          <w:szCs w:val="28"/>
          <w:lang w:bidi="el-GR"/>
        </w:rPr>
        <w:t>Υ</w:t>
      </w:r>
      <w:r>
        <w:rPr>
          <w:rFonts w:ascii="Bookman Old Style" w:hAnsi="Bookman Old Style"/>
          <w:color w:val="000000"/>
          <w:sz w:val="28"/>
          <w:szCs w:val="28"/>
          <w:lang w:bidi="el-GR"/>
        </w:rPr>
        <w:t xml:space="preserve"> ΕΠΑΡΧΙΑΚΟ</w:t>
      </w:r>
      <w:r w:rsidR="003B70A7">
        <w:rPr>
          <w:rFonts w:ascii="Bookman Old Style" w:hAnsi="Bookman Old Style"/>
          <w:color w:val="000000"/>
          <w:sz w:val="28"/>
          <w:szCs w:val="28"/>
          <w:lang w:bidi="el-GR"/>
        </w:rPr>
        <w:t>Υ</w:t>
      </w:r>
      <w:r>
        <w:rPr>
          <w:rFonts w:ascii="Bookman Old Style" w:hAnsi="Bookman Old Style"/>
          <w:color w:val="000000"/>
          <w:sz w:val="28"/>
          <w:szCs w:val="28"/>
          <w:lang w:bidi="el-GR"/>
        </w:rPr>
        <w:t xml:space="preserve"> ΔΙΚΑΣΤΗΡΙΟ</w:t>
      </w:r>
      <w:r w:rsidR="003B70A7">
        <w:rPr>
          <w:rFonts w:ascii="Bookman Old Style" w:hAnsi="Bookman Old Style"/>
          <w:color w:val="000000"/>
          <w:sz w:val="28"/>
          <w:szCs w:val="28"/>
          <w:lang w:bidi="el-GR"/>
        </w:rPr>
        <w:t>Υ ΛΕΜΕΣΟΥ ΗΜΕΡΟΜΗΝΙΑΣ 23/05/2022 ΠΟΥ ΕΚΔΟΘΗΚΕ ΧΩΡΙΣ ΕΙΔΟΠΟΙΗΣΗ ΣΤΗ ΜΟΝΟΜΕΡΗ ΑΙΤΗΣΗ ΤΩΝ</w:t>
      </w:r>
      <w:r w:rsidR="003B70A7" w:rsidRPr="003B70A7">
        <w:rPr>
          <w:rFonts w:ascii="Bookman Old Style" w:hAnsi="Bookman Old Style"/>
          <w:color w:val="000000"/>
          <w:sz w:val="28"/>
          <w:szCs w:val="28"/>
          <w:lang w:bidi="el-GR"/>
        </w:rPr>
        <w:t xml:space="preserve"> </w:t>
      </w:r>
      <w:r w:rsidR="003B70A7">
        <w:rPr>
          <w:rFonts w:ascii="Bookman Old Style" w:hAnsi="Bookman Old Style"/>
          <w:color w:val="000000"/>
          <w:sz w:val="28"/>
          <w:szCs w:val="28"/>
          <w:lang w:val="en-US" w:bidi="el-GR"/>
        </w:rPr>
        <w:t>CS</w:t>
      </w:r>
      <w:r w:rsidR="003B70A7" w:rsidRPr="003B70A7">
        <w:rPr>
          <w:rFonts w:ascii="Bookman Old Style" w:hAnsi="Bookman Old Style"/>
          <w:color w:val="000000"/>
          <w:sz w:val="28"/>
          <w:szCs w:val="28"/>
          <w:lang w:bidi="el-GR"/>
        </w:rPr>
        <w:t xml:space="preserve"> </w:t>
      </w:r>
      <w:r w:rsidR="003B70A7">
        <w:rPr>
          <w:rFonts w:ascii="Bookman Old Style" w:hAnsi="Bookman Old Style"/>
          <w:color w:val="000000"/>
          <w:sz w:val="28"/>
          <w:szCs w:val="28"/>
          <w:lang w:val="en-US" w:bidi="el-GR"/>
        </w:rPr>
        <w:t>VIRTUAL</w:t>
      </w:r>
      <w:r w:rsidR="003B70A7" w:rsidRPr="003B70A7">
        <w:rPr>
          <w:rFonts w:ascii="Bookman Old Style" w:hAnsi="Bookman Old Style"/>
          <w:color w:val="000000"/>
          <w:sz w:val="28"/>
          <w:szCs w:val="28"/>
          <w:lang w:bidi="el-GR"/>
        </w:rPr>
        <w:t xml:space="preserve"> </w:t>
      </w:r>
      <w:r w:rsidR="003B70A7">
        <w:rPr>
          <w:rFonts w:ascii="Bookman Old Style" w:hAnsi="Bookman Old Style"/>
          <w:color w:val="000000"/>
          <w:sz w:val="28"/>
          <w:szCs w:val="28"/>
          <w:lang w:val="en-US" w:bidi="el-GR"/>
        </w:rPr>
        <w:t>TRADE</w:t>
      </w:r>
      <w:r w:rsidR="003B70A7" w:rsidRPr="003B70A7">
        <w:rPr>
          <w:rFonts w:ascii="Bookman Old Style" w:hAnsi="Bookman Old Style"/>
          <w:color w:val="000000"/>
          <w:sz w:val="28"/>
          <w:szCs w:val="28"/>
          <w:lang w:bidi="el-GR"/>
        </w:rPr>
        <w:t xml:space="preserve"> </w:t>
      </w:r>
      <w:r w:rsidR="003B70A7">
        <w:rPr>
          <w:rFonts w:ascii="Bookman Old Style" w:hAnsi="Bookman Old Style"/>
          <w:color w:val="000000"/>
          <w:sz w:val="28"/>
          <w:szCs w:val="28"/>
          <w:lang w:val="en-US" w:bidi="el-GR"/>
        </w:rPr>
        <w:t>LTD</w:t>
      </w:r>
      <w:r w:rsidR="003B70A7">
        <w:rPr>
          <w:rFonts w:ascii="Bookman Old Style" w:hAnsi="Bookman Old Style"/>
          <w:color w:val="000000"/>
          <w:sz w:val="28"/>
          <w:szCs w:val="28"/>
          <w:lang w:bidi="el-GR"/>
        </w:rPr>
        <w:t>/ΕΝΑΓΟΜΕΝΩΝ 3 ΑΠΟ ΤΗ ΛΕΜΕΣΟ ΗΜΕΡΟΜΗΝΙΑΣ 10/05/2022 ΣΤΑ ΠΛΑΙΣΙΑ ΤΗΣ ΑΓΩΓΗΣ ΜΕ ΑΡ. 440/2019</w:t>
      </w:r>
    </w:p>
    <w:p w14:paraId="2D111E44" w14:textId="756C2D59" w:rsidR="00265A85" w:rsidRPr="008518F5" w:rsidRDefault="003B70A7" w:rsidP="0014290A">
      <w:pPr>
        <w:spacing w:line="276" w:lineRule="auto"/>
        <w:ind w:left="284" w:right="-35"/>
        <w:jc w:val="both"/>
        <w:rPr>
          <w:rFonts w:ascii="Bookman Old Style" w:hAnsi="Bookman Old Style" w:cs="Arial"/>
          <w:iCs/>
          <w:sz w:val="28"/>
          <w:szCs w:val="28"/>
          <w:lang w:val="el-GR"/>
        </w:rPr>
      </w:pPr>
      <w:r>
        <w:rPr>
          <w:rFonts w:ascii="Bookman Old Style" w:hAnsi="Bookman Old Style" w:cs="Arial"/>
          <w:i/>
          <w:iCs/>
          <w:sz w:val="28"/>
          <w:szCs w:val="28"/>
          <w:lang w:val="el-GR"/>
        </w:rPr>
        <w:lastRenderedPageBreak/>
        <w:t xml:space="preserve">Ε. Χριστοδούλου (κα) </w:t>
      </w:r>
      <w:r w:rsidR="009079F3">
        <w:rPr>
          <w:rFonts w:ascii="Bookman Old Style" w:hAnsi="Bookman Old Style" w:cs="Arial"/>
          <w:i/>
          <w:iCs/>
          <w:sz w:val="28"/>
          <w:szCs w:val="28"/>
          <w:lang w:val="el-GR"/>
        </w:rPr>
        <w:t xml:space="preserve">με Ε. Αδάμου (κα) </w:t>
      </w:r>
      <w:r>
        <w:rPr>
          <w:rFonts w:ascii="Bookman Old Style" w:hAnsi="Bookman Old Style" w:cs="Arial"/>
          <w:i/>
          <w:iCs/>
          <w:sz w:val="28"/>
          <w:szCs w:val="28"/>
          <w:lang w:val="el-GR"/>
        </w:rPr>
        <w:t xml:space="preserve">για </w:t>
      </w:r>
      <w:r>
        <w:rPr>
          <w:rFonts w:ascii="Bookman Old Style" w:hAnsi="Bookman Old Style" w:cs="Arial"/>
          <w:i/>
          <w:iCs/>
          <w:sz w:val="28"/>
          <w:szCs w:val="28"/>
          <w:lang w:val="en-US"/>
        </w:rPr>
        <w:t>I</w:t>
      </w:r>
      <w:r w:rsidRPr="003B70A7">
        <w:rPr>
          <w:rFonts w:ascii="Bookman Old Style" w:hAnsi="Bookman Old Style" w:cs="Arial"/>
          <w:i/>
          <w:iCs/>
          <w:sz w:val="28"/>
          <w:szCs w:val="28"/>
          <w:lang w:val="el-GR"/>
        </w:rPr>
        <w:t xml:space="preserve">. </w:t>
      </w:r>
      <w:r>
        <w:rPr>
          <w:rFonts w:ascii="Bookman Old Style" w:hAnsi="Bookman Old Style" w:cs="Arial"/>
          <w:i/>
          <w:iCs/>
          <w:sz w:val="28"/>
          <w:szCs w:val="28"/>
          <w:lang w:val="en-US"/>
        </w:rPr>
        <w:t>C</w:t>
      </w:r>
      <w:r w:rsidR="0017406F">
        <w:rPr>
          <w:rFonts w:ascii="Bookman Old Style" w:hAnsi="Bookman Old Style" w:cs="Arial"/>
          <w:i/>
          <w:iCs/>
          <w:sz w:val="28"/>
          <w:szCs w:val="28"/>
          <w:lang w:val="en-US"/>
        </w:rPr>
        <w:t>HRISTODOULOU</w:t>
      </w:r>
      <w:r w:rsidR="0017406F" w:rsidRPr="0017406F">
        <w:rPr>
          <w:rFonts w:ascii="Bookman Old Style" w:hAnsi="Bookman Old Style" w:cs="Arial"/>
          <w:i/>
          <w:iCs/>
          <w:sz w:val="28"/>
          <w:szCs w:val="28"/>
          <w:lang w:val="el-GR"/>
        </w:rPr>
        <w:t xml:space="preserve"> </w:t>
      </w:r>
      <w:r w:rsidRPr="003B70A7">
        <w:rPr>
          <w:rFonts w:ascii="Bookman Old Style" w:hAnsi="Bookman Old Style" w:cs="Arial"/>
          <w:i/>
          <w:iCs/>
          <w:sz w:val="28"/>
          <w:szCs w:val="28"/>
          <w:lang w:val="el-GR"/>
        </w:rPr>
        <w:t xml:space="preserve">&amp; </w:t>
      </w:r>
      <w:r>
        <w:rPr>
          <w:rFonts w:ascii="Bookman Old Style" w:hAnsi="Bookman Old Style" w:cs="Arial"/>
          <w:i/>
          <w:iCs/>
          <w:sz w:val="28"/>
          <w:szCs w:val="28"/>
          <w:lang w:val="en-US"/>
        </w:rPr>
        <w:t>P</w:t>
      </w:r>
      <w:r w:rsidR="0017406F">
        <w:rPr>
          <w:rFonts w:ascii="Bookman Old Style" w:hAnsi="Bookman Old Style" w:cs="Arial"/>
          <w:i/>
          <w:iCs/>
          <w:sz w:val="28"/>
          <w:szCs w:val="28"/>
          <w:lang w:val="en-US"/>
        </w:rPr>
        <w:t>ARTNERS</w:t>
      </w:r>
      <w:r w:rsidRPr="003B70A7">
        <w:rPr>
          <w:rFonts w:ascii="Bookman Old Style" w:hAnsi="Bookman Old Style" w:cs="Arial"/>
          <w:i/>
          <w:iCs/>
          <w:sz w:val="28"/>
          <w:szCs w:val="28"/>
          <w:lang w:val="el-GR"/>
        </w:rPr>
        <w:t xml:space="preserve"> </w:t>
      </w:r>
      <w:r>
        <w:rPr>
          <w:rFonts w:ascii="Bookman Old Style" w:hAnsi="Bookman Old Style" w:cs="Arial"/>
          <w:i/>
          <w:iCs/>
          <w:sz w:val="28"/>
          <w:szCs w:val="28"/>
          <w:lang w:val="en-US"/>
        </w:rPr>
        <w:t>LLC</w:t>
      </w:r>
      <w:r w:rsidRPr="003B70A7">
        <w:rPr>
          <w:rFonts w:ascii="Bookman Old Style" w:hAnsi="Bookman Old Style" w:cs="Arial"/>
          <w:sz w:val="28"/>
          <w:szCs w:val="28"/>
          <w:lang w:val="el-GR"/>
        </w:rPr>
        <w:t xml:space="preserve">, </w:t>
      </w:r>
      <w:r w:rsidR="00265A85" w:rsidRPr="008518F5">
        <w:rPr>
          <w:rFonts w:ascii="Bookman Old Style" w:hAnsi="Bookman Old Style" w:cs="Arial"/>
          <w:iCs/>
          <w:sz w:val="28"/>
          <w:szCs w:val="28"/>
          <w:lang w:val="el-GR"/>
        </w:rPr>
        <w:t xml:space="preserve">για </w:t>
      </w:r>
      <w:r>
        <w:rPr>
          <w:rFonts w:ascii="Bookman Old Style" w:hAnsi="Bookman Old Style" w:cs="Arial"/>
          <w:iCs/>
          <w:sz w:val="28"/>
          <w:szCs w:val="28"/>
          <w:lang w:val="el-GR"/>
        </w:rPr>
        <w:t xml:space="preserve">τους </w:t>
      </w:r>
      <w:r w:rsidR="00265A85" w:rsidRPr="008518F5">
        <w:rPr>
          <w:rFonts w:ascii="Bookman Old Style" w:hAnsi="Bookman Old Style" w:cs="Arial"/>
          <w:iCs/>
          <w:sz w:val="28"/>
          <w:szCs w:val="28"/>
          <w:lang w:val="el-GR"/>
        </w:rPr>
        <w:t>Εφεσείοντ</w:t>
      </w:r>
      <w:r>
        <w:rPr>
          <w:rFonts w:ascii="Bookman Old Style" w:hAnsi="Bookman Old Style" w:cs="Arial"/>
          <w:iCs/>
          <w:sz w:val="28"/>
          <w:szCs w:val="28"/>
          <w:lang w:val="el-GR"/>
        </w:rPr>
        <w:t>ες</w:t>
      </w:r>
      <w:r w:rsidR="00265A85" w:rsidRPr="008518F5">
        <w:rPr>
          <w:rFonts w:ascii="Bookman Old Style" w:hAnsi="Bookman Old Style" w:cs="Arial"/>
          <w:iCs/>
          <w:sz w:val="28"/>
          <w:szCs w:val="28"/>
          <w:lang w:val="el-GR"/>
        </w:rPr>
        <w:t>.</w:t>
      </w:r>
    </w:p>
    <w:p w14:paraId="04C2D5F2" w14:textId="77777777" w:rsidR="00265A85" w:rsidRPr="008518F5" w:rsidRDefault="00265A85" w:rsidP="0014290A">
      <w:pPr>
        <w:spacing w:line="276" w:lineRule="auto"/>
        <w:ind w:left="397" w:right="-35" w:hanging="113"/>
        <w:jc w:val="both"/>
        <w:rPr>
          <w:rFonts w:ascii="Bookman Old Style" w:hAnsi="Bookman Old Style" w:cs="Arial"/>
          <w:iCs/>
          <w:sz w:val="28"/>
          <w:szCs w:val="28"/>
          <w:lang w:val="el-GR"/>
        </w:rPr>
      </w:pPr>
    </w:p>
    <w:p w14:paraId="41966414" w14:textId="61928C09" w:rsidR="00265A85" w:rsidRPr="008518F5" w:rsidRDefault="00E10F96" w:rsidP="0014290A">
      <w:pPr>
        <w:spacing w:line="276" w:lineRule="auto"/>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 xml:space="preserve"> </w:t>
      </w:r>
      <w:r w:rsidR="0017406F">
        <w:rPr>
          <w:rFonts w:ascii="Bookman Old Style" w:hAnsi="Bookman Old Style" w:cs="Arial"/>
          <w:i/>
          <w:sz w:val="28"/>
          <w:szCs w:val="28"/>
          <w:lang w:val="el-GR"/>
        </w:rPr>
        <w:t xml:space="preserve">Σ. Νεοκλέους για ΣΩΦΡΟΝΗΣ ΝΕΟΚΛΕΟΥΣ </w:t>
      </w:r>
      <w:r w:rsidR="0017406F">
        <w:rPr>
          <w:rFonts w:ascii="Bookman Old Style" w:hAnsi="Bookman Old Style" w:cs="Arial"/>
          <w:i/>
          <w:sz w:val="28"/>
          <w:szCs w:val="28"/>
          <w:lang w:val="en-US"/>
        </w:rPr>
        <w:t>PHC</w:t>
      </w:r>
      <w:r w:rsidR="0017406F" w:rsidRPr="0017406F">
        <w:rPr>
          <w:rFonts w:ascii="Bookman Old Style" w:hAnsi="Bookman Old Style" w:cs="Arial"/>
          <w:i/>
          <w:sz w:val="28"/>
          <w:szCs w:val="28"/>
          <w:lang w:val="el-GR"/>
        </w:rPr>
        <w:t xml:space="preserve"> </w:t>
      </w:r>
      <w:r w:rsidR="0017406F">
        <w:rPr>
          <w:rFonts w:ascii="Bookman Old Style" w:hAnsi="Bookman Old Style" w:cs="Arial"/>
          <w:i/>
          <w:sz w:val="28"/>
          <w:szCs w:val="28"/>
          <w:lang w:val="en-US"/>
        </w:rPr>
        <w:t>TSANGARIDES</w:t>
      </w:r>
      <w:r w:rsidR="0017406F" w:rsidRPr="0017406F">
        <w:rPr>
          <w:rFonts w:ascii="Bookman Old Style" w:hAnsi="Bookman Old Style" w:cs="Arial"/>
          <w:i/>
          <w:sz w:val="28"/>
          <w:szCs w:val="28"/>
          <w:lang w:val="el-GR"/>
        </w:rPr>
        <w:t xml:space="preserve"> </w:t>
      </w:r>
      <w:r w:rsidR="0017406F">
        <w:rPr>
          <w:rFonts w:ascii="Bookman Old Style" w:hAnsi="Bookman Old Style" w:cs="Arial"/>
          <w:i/>
          <w:sz w:val="28"/>
          <w:szCs w:val="28"/>
          <w:lang w:val="en-US"/>
        </w:rPr>
        <w:t>LLC</w:t>
      </w:r>
      <w:r w:rsidR="0017406F">
        <w:rPr>
          <w:rFonts w:ascii="Bookman Old Style" w:hAnsi="Bookman Old Style" w:cs="Arial"/>
          <w:iCs/>
          <w:sz w:val="28"/>
          <w:szCs w:val="28"/>
          <w:lang w:val="el-GR"/>
        </w:rPr>
        <w:t xml:space="preserve">, </w:t>
      </w:r>
      <w:r w:rsidR="00265A85" w:rsidRPr="008518F5">
        <w:rPr>
          <w:rFonts w:ascii="Bookman Old Style" w:hAnsi="Bookman Old Style" w:cs="Arial"/>
          <w:sz w:val="28"/>
          <w:szCs w:val="28"/>
          <w:lang w:val="el-GR"/>
        </w:rPr>
        <w:t>για το</w:t>
      </w:r>
      <w:r w:rsidR="0017406F">
        <w:rPr>
          <w:rFonts w:ascii="Bookman Old Style" w:hAnsi="Bookman Old Style" w:cs="Arial"/>
          <w:sz w:val="28"/>
          <w:szCs w:val="28"/>
          <w:lang w:val="el-GR"/>
        </w:rPr>
        <w:t>υ</w:t>
      </w:r>
      <w:r w:rsidR="00BD4792">
        <w:rPr>
          <w:rFonts w:ascii="Bookman Old Style" w:hAnsi="Bookman Old Style" w:cs="Arial"/>
          <w:sz w:val="28"/>
          <w:szCs w:val="28"/>
          <w:lang w:val="el-GR"/>
        </w:rPr>
        <w:t>ς</w:t>
      </w:r>
      <w:r w:rsidR="00265A85" w:rsidRPr="008518F5">
        <w:rPr>
          <w:rFonts w:ascii="Bookman Old Style" w:hAnsi="Bookman Old Style" w:cs="Arial"/>
          <w:sz w:val="28"/>
          <w:szCs w:val="28"/>
          <w:lang w:val="el-GR"/>
        </w:rPr>
        <w:t xml:space="preserve"> Εφεσίβλητο</w:t>
      </w:r>
      <w:r w:rsidR="0017406F">
        <w:rPr>
          <w:rFonts w:ascii="Bookman Old Style" w:hAnsi="Bookman Old Style" w:cs="Arial"/>
          <w:sz w:val="28"/>
          <w:szCs w:val="28"/>
          <w:lang w:val="el-GR"/>
        </w:rPr>
        <w:t>υς</w:t>
      </w:r>
      <w:r w:rsidR="00265A85" w:rsidRPr="008518F5">
        <w:rPr>
          <w:rFonts w:ascii="Bookman Old Style" w:hAnsi="Bookman Old Style" w:cs="Arial"/>
          <w:iCs/>
          <w:sz w:val="28"/>
          <w:szCs w:val="28"/>
          <w:lang w:val="el-GR"/>
        </w:rPr>
        <w:t>.</w:t>
      </w:r>
    </w:p>
    <w:p w14:paraId="418A31D3" w14:textId="77777777" w:rsidR="00904291" w:rsidRPr="008518F5" w:rsidRDefault="00904291" w:rsidP="0014290A">
      <w:pPr>
        <w:spacing w:line="276" w:lineRule="auto"/>
        <w:ind w:left="397" w:right="-35" w:hanging="113"/>
        <w:jc w:val="both"/>
        <w:rPr>
          <w:rFonts w:ascii="Bookman Old Style" w:hAnsi="Bookman Old Style" w:cs="Arial"/>
          <w:iCs/>
          <w:sz w:val="28"/>
          <w:szCs w:val="28"/>
          <w:lang w:val="el-GR"/>
        </w:rPr>
      </w:pPr>
    </w:p>
    <w:p w14:paraId="6DA64E55" w14:textId="77777777" w:rsidR="00904291" w:rsidRPr="008518F5" w:rsidRDefault="00904291" w:rsidP="0014290A">
      <w:pPr>
        <w:spacing w:line="276" w:lineRule="auto"/>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2017F530" w14:textId="77777777" w:rsidR="00904291" w:rsidRPr="008518F5" w:rsidRDefault="00904291" w:rsidP="0014290A">
      <w:pPr>
        <w:spacing w:line="276" w:lineRule="auto"/>
        <w:ind w:left="2610" w:right="-35" w:hanging="2326"/>
        <w:jc w:val="both"/>
        <w:rPr>
          <w:rFonts w:ascii="Bookman Old Style" w:hAnsi="Bookman Old Style" w:cs="Arial"/>
          <w:b/>
          <w:sz w:val="28"/>
          <w:szCs w:val="28"/>
          <w:lang w:val="el-GR"/>
        </w:rPr>
      </w:pPr>
    </w:p>
    <w:p w14:paraId="5225F1E7" w14:textId="1C2C865C" w:rsidR="00E544DA" w:rsidRDefault="00E86246" w:rsidP="0014290A">
      <w:pPr>
        <w:pBdr>
          <w:bottom w:val="single" w:sz="12" w:space="1" w:color="auto"/>
        </w:pBdr>
        <w:spacing w:line="276"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w:t>
      </w:r>
      <w:r w:rsidR="00853085">
        <w:rPr>
          <w:rFonts w:ascii="Bookman Old Style" w:hAnsi="Bookman Old Style" w:cs="Arial"/>
          <w:b/>
          <w:sz w:val="28"/>
          <w:szCs w:val="28"/>
          <w:lang w:val="el-GR"/>
        </w:rPr>
        <w:t>Σ</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48A29810" w14:textId="77777777" w:rsidR="0014290A" w:rsidRPr="008518F5" w:rsidRDefault="0014290A" w:rsidP="0014290A">
      <w:pPr>
        <w:pBdr>
          <w:bottom w:val="single" w:sz="12" w:space="1" w:color="auto"/>
        </w:pBdr>
        <w:spacing w:line="276" w:lineRule="auto"/>
        <w:ind w:left="2610" w:right="-35" w:hanging="2326"/>
        <w:jc w:val="both"/>
        <w:rPr>
          <w:rFonts w:ascii="Bookman Old Style" w:hAnsi="Bookman Old Style" w:cs="Arial"/>
          <w:b/>
          <w:sz w:val="28"/>
          <w:szCs w:val="28"/>
          <w:lang w:val="el-GR"/>
        </w:rPr>
      </w:pPr>
    </w:p>
    <w:p w14:paraId="4845853A" w14:textId="77777777" w:rsidR="0014290A" w:rsidRPr="0014290A" w:rsidRDefault="0014290A" w:rsidP="0014290A">
      <w:pPr>
        <w:spacing w:line="276" w:lineRule="auto"/>
        <w:ind w:right="-35"/>
        <w:jc w:val="center"/>
        <w:rPr>
          <w:rFonts w:ascii="Bookman Old Style" w:hAnsi="Bookman Old Style" w:cs="Arial"/>
          <w:iCs/>
          <w:sz w:val="28"/>
          <w:szCs w:val="28"/>
          <w:u w:val="thick"/>
          <w:lang w:val="el-GR"/>
        </w:rPr>
      </w:pPr>
    </w:p>
    <w:p w14:paraId="21CB534D" w14:textId="2315E8CC" w:rsidR="00265A85" w:rsidRPr="00E10F96" w:rsidRDefault="0046198C" w:rsidP="0014290A">
      <w:pPr>
        <w:spacing w:line="276" w:lineRule="auto"/>
        <w:ind w:right="-35"/>
        <w:jc w:val="center"/>
        <w:rPr>
          <w:rFonts w:ascii="Bookman Old Style" w:hAnsi="Bookman Old Style" w:cs="Arial"/>
          <w:b/>
          <w:bCs/>
          <w:caps/>
          <w:sz w:val="36"/>
          <w:szCs w:val="36"/>
          <w:u w:val="thick"/>
          <w:lang w:val="el-GR"/>
        </w:rPr>
      </w:pPr>
      <w:r w:rsidRPr="0046198C">
        <w:rPr>
          <w:rFonts w:ascii="Bookman Old Style" w:hAnsi="Bookman Old Style" w:cs="Arial"/>
          <w:b/>
          <w:bCs/>
          <w:caps/>
          <w:sz w:val="36"/>
          <w:szCs w:val="36"/>
          <w:lang w:val="el-GR"/>
        </w:rPr>
        <w:t xml:space="preserve">  </w:t>
      </w:r>
      <w:r w:rsidR="00265A85" w:rsidRPr="00E10F96">
        <w:rPr>
          <w:rFonts w:ascii="Bookman Old Style" w:hAnsi="Bookman Old Style" w:cs="Arial"/>
          <w:b/>
          <w:bCs/>
          <w:caps/>
          <w:sz w:val="36"/>
          <w:szCs w:val="36"/>
          <w:u w:val="thick"/>
          <w:lang w:val="el-GR"/>
        </w:rPr>
        <w:t>Α Π Ο Φ Α Σ Η</w:t>
      </w:r>
    </w:p>
    <w:p w14:paraId="10476C3F" w14:textId="77777777" w:rsidR="00265A85" w:rsidRDefault="00265A85" w:rsidP="0014290A">
      <w:pPr>
        <w:tabs>
          <w:tab w:val="left" w:pos="624"/>
        </w:tabs>
        <w:spacing w:line="276" w:lineRule="auto"/>
        <w:ind w:left="681" w:right="-35" w:hanging="397"/>
        <w:jc w:val="both"/>
        <w:rPr>
          <w:rFonts w:ascii="Bookman Old Style" w:hAnsi="Bookman Old Style" w:cs="Arial"/>
          <w:b/>
          <w:bCs/>
          <w:sz w:val="28"/>
          <w:szCs w:val="28"/>
          <w:lang w:val="el-GR"/>
        </w:rPr>
      </w:pPr>
    </w:p>
    <w:p w14:paraId="2056137B" w14:textId="77777777" w:rsidR="005724FC" w:rsidRPr="008518F5" w:rsidRDefault="005724FC" w:rsidP="0014290A">
      <w:pPr>
        <w:tabs>
          <w:tab w:val="left" w:pos="624"/>
        </w:tabs>
        <w:spacing w:line="276" w:lineRule="auto"/>
        <w:ind w:left="681" w:right="-35" w:hanging="397"/>
        <w:jc w:val="both"/>
        <w:rPr>
          <w:rFonts w:ascii="Bookman Old Style" w:hAnsi="Bookman Old Style" w:cs="Arial"/>
          <w:b/>
          <w:bCs/>
          <w:sz w:val="28"/>
          <w:szCs w:val="28"/>
          <w:lang w:val="el-GR"/>
        </w:rPr>
      </w:pPr>
    </w:p>
    <w:p w14:paraId="48C19659" w14:textId="65EC1F53" w:rsidR="00E55B7C" w:rsidRDefault="00422938" w:rsidP="0014290A">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0A0BB8">
        <w:rPr>
          <w:rFonts w:ascii="Bookman Old Style" w:hAnsi="Bookman Old Style" w:cs="Arial"/>
          <w:sz w:val="28"/>
          <w:szCs w:val="28"/>
          <w:lang w:val="el-GR"/>
        </w:rPr>
        <w:t xml:space="preserve">Αντικείμενο της παρούσας Έφεσης είναι Απόφαση που εκδόθηκε στο πλαίσιο της πρωτοβάθμιας δικαιοδοσίας του Ανωτάτου Δικαστηρίου (πρωτόδικο Δικαστήριο) στις 11/7/2023, στην Πολιτική Αίτηση αρ. 172/2022. Με την ως άνω Απόφαση του, το πρωτόδικο Δικαστήριο εξέδωσε ένταλμα </w:t>
      </w:r>
      <w:r w:rsidR="000A0BB8">
        <w:rPr>
          <w:rFonts w:ascii="Bookman Old Style" w:hAnsi="Bookman Old Style" w:cs="Arial"/>
          <w:i/>
          <w:iCs/>
          <w:sz w:val="28"/>
          <w:szCs w:val="28"/>
          <w:lang w:val="en-US"/>
        </w:rPr>
        <w:t>Certiorari</w:t>
      </w:r>
      <w:r w:rsidR="000A0BB8">
        <w:rPr>
          <w:rFonts w:ascii="Bookman Old Style" w:hAnsi="Bookman Old Style" w:cs="Arial"/>
          <w:sz w:val="28"/>
          <w:szCs w:val="28"/>
          <w:lang w:val="el-GR"/>
        </w:rPr>
        <w:t xml:space="preserve"> με το οποίο ακυρώθηκε το </w:t>
      </w:r>
      <w:r w:rsidR="0038103B">
        <w:rPr>
          <w:rFonts w:ascii="Bookman Old Style" w:hAnsi="Bookman Old Style" w:cs="Arial"/>
          <w:sz w:val="28"/>
          <w:szCs w:val="28"/>
          <w:lang w:val="el-GR"/>
        </w:rPr>
        <w:t>Δ</w:t>
      </w:r>
      <w:r w:rsidR="000A0BB8">
        <w:rPr>
          <w:rFonts w:ascii="Bookman Old Style" w:hAnsi="Bookman Old Style" w:cs="Arial"/>
          <w:sz w:val="28"/>
          <w:szCs w:val="28"/>
          <w:lang w:val="el-GR"/>
        </w:rPr>
        <w:t xml:space="preserve">ιάταγμα, ημερ. 23/5/2022, το οποίο εξεδόθη από το Επαρχιακό Δικαστήριο Λεμεσού, με το οποίο ανεστάλησαν διατάγματα που είχαν εκδοθεί στο πλαίσιο της Αγωγής υπ’ αρ. 440/2019. </w:t>
      </w:r>
    </w:p>
    <w:p w14:paraId="4A293A0A" w14:textId="77777777" w:rsidR="00E55B7C" w:rsidRDefault="00E55B7C" w:rsidP="0014290A">
      <w:pPr>
        <w:spacing w:line="480" w:lineRule="auto"/>
        <w:ind w:right="-35"/>
        <w:jc w:val="both"/>
        <w:rPr>
          <w:rFonts w:ascii="Bookman Old Style" w:hAnsi="Bookman Old Style" w:cs="Arial"/>
          <w:sz w:val="28"/>
          <w:szCs w:val="28"/>
          <w:lang w:val="el-GR"/>
        </w:rPr>
      </w:pPr>
    </w:p>
    <w:p w14:paraId="6187943A" w14:textId="408D397E" w:rsidR="000A0BB8" w:rsidRDefault="000A0BB8" w:rsidP="0014290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Για σκοπούς ευχερούς κατανόησης των ζητημάτων που εγείρονται κρίνεται επιβεβλημένη η παράθεση, συνοπτικά, των γεγονότων που περιβάλλουν την παρούσα υπόθεση, ως αναδύονται από το σύνολο των στοιχείων που τέθηκαν ενώπιον του πρωτόδικου Δικαστηρίου.</w:t>
      </w:r>
    </w:p>
    <w:p w14:paraId="0B13F123" w14:textId="77777777" w:rsidR="005724FC" w:rsidRDefault="005724FC" w:rsidP="0014290A">
      <w:pPr>
        <w:spacing w:line="480" w:lineRule="auto"/>
        <w:ind w:right="-35"/>
        <w:jc w:val="both"/>
        <w:rPr>
          <w:rFonts w:ascii="Bookman Old Style" w:hAnsi="Bookman Old Style" w:cs="Arial"/>
          <w:sz w:val="28"/>
          <w:szCs w:val="28"/>
          <w:lang w:val="el-GR"/>
        </w:rPr>
      </w:pPr>
    </w:p>
    <w:p w14:paraId="40D93CE8" w14:textId="384F5E6A" w:rsidR="000A0BB8" w:rsidRDefault="000A0BB8"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Στις 21/9/2020</w:t>
      </w:r>
      <w:r w:rsidR="0038103B">
        <w:rPr>
          <w:rFonts w:ascii="Bookman Old Style" w:hAnsi="Bookman Old Style" w:cs="Arial"/>
          <w:sz w:val="28"/>
          <w:szCs w:val="28"/>
          <w:lang w:val="el-GR"/>
        </w:rPr>
        <w:t xml:space="preserve"> στην Αγωγή υπ</w:t>
      </w:r>
      <w:r w:rsidR="00195FCD">
        <w:rPr>
          <w:rFonts w:ascii="Bookman Old Style" w:hAnsi="Bookman Old Style" w:cs="Arial"/>
          <w:sz w:val="28"/>
          <w:szCs w:val="28"/>
          <w:lang w:val="el-GR"/>
        </w:rPr>
        <w:t>’</w:t>
      </w:r>
      <w:r w:rsidR="0038103B">
        <w:rPr>
          <w:rFonts w:ascii="Bookman Old Style" w:hAnsi="Bookman Old Style" w:cs="Arial"/>
          <w:sz w:val="28"/>
          <w:szCs w:val="28"/>
          <w:lang w:val="el-GR"/>
        </w:rPr>
        <w:t xml:space="preserve"> αρ. 440/2019 του Επαρχιακού Δικαστηρίου Λεμεσού,</w:t>
      </w:r>
      <w:r>
        <w:rPr>
          <w:rFonts w:ascii="Bookman Old Style" w:hAnsi="Bookman Old Style" w:cs="Arial"/>
          <w:sz w:val="28"/>
          <w:szCs w:val="28"/>
          <w:lang w:val="el-GR"/>
        </w:rPr>
        <w:t xml:space="preserve"> οι Εφεσίβλητοι εξασφάλισαν ερήμην τελική απόφαση εναντίον των Εφεσειόντων (Εναγομένων 3). Στις 16/10/2020 εξασφάλισαν περαιτέρω ένα συμπληρωματικό διάταγμα εναντίον τους. Αίτηση για παραμερισμό της ερήμην τελικής απόφασης που καταχώρισαν οι Εφεσείοντες, απερρίφθη στις 30/3/2022. Οι Εφεσείοντες εφεσίβαλαν την πιο πάνω απόφαση με την Πολιτική Έφεση αρ. Ε83/2022, η οποία εκκρεμεί. Η ερήμην τελική απόφαση, ημερ. 21/9/2020, δεν εφεσιβλήθη. </w:t>
      </w:r>
    </w:p>
    <w:p w14:paraId="19376E6A" w14:textId="77777777" w:rsidR="000A0BB8" w:rsidRDefault="000A0BB8" w:rsidP="00963265">
      <w:pPr>
        <w:spacing w:line="480" w:lineRule="auto"/>
        <w:ind w:right="-35"/>
        <w:jc w:val="both"/>
        <w:rPr>
          <w:rFonts w:ascii="Bookman Old Style" w:hAnsi="Bookman Old Style" w:cs="Arial"/>
          <w:sz w:val="28"/>
          <w:szCs w:val="28"/>
          <w:lang w:val="el-GR"/>
        </w:rPr>
      </w:pPr>
    </w:p>
    <w:p w14:paraId="7CCA3B96" w14:textId="50D3F8EB" w:rsidR="000A0BB8" w:rsidRDefault="000A0BB8"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Εκκρεμούσης της Εφέσεως Ε83/2022 οι Εφεσείοντες καταχώρισαν μονομερή αίτηση για αναστολή της απόφασης ημερ. 21/9/2020 και του διατάγματος ημερ. 16/10/2020, μέχρι την εκδίκαση της Έφεσης υπ’ αρ. Ε83/2022.</w:t>
      </w:r>
    </w:p>
    <w:p w14:paraId="199F996A" w14:textId="77777777" w:rsidR="000A0BB8" w:rsidRDefault="000A0BB8" w:rsidP="00963265">
      <w:pPr>
        <w:spacing w:line="480" w:lineRule="auto"/>
        <w:ind w:right="-35"/>
        <w:jc w:val="both"/>
        <w:rPr>
          <w:rFonts w:ascii="Bookman Old Style" w:hAnsi="Bookman Old Style" w:cs="Arial"/>
          <w:sz w:val="28"/>
          <w:szCs w:val="28"/>
          <w:lang w:val="el-GR"/>
        </w:rPr>
      </w:pPr>
    </w:p>
    <w:p w14:paraId="4D444837" w14:textId="17F9CA21" w:rsidR="000A0BB8" w:rsidRDefault="000A0BB8"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23/5/2022 Πρόεδρος του Επαρχιακού Δικαστηρίου Λεμεσού επιλήφθηκε μονομερώς της αίτησης και εξέδωσε το υπό κρίση </w:t>
      </w:r>
      <w:r w:rsidR="0038103B">
        <w:rPr>
          <w:rFonts w:ascii="Bookman Old Style" w:hAnsi="Bookman Old Style" w:cs="Arial"/>
          <w:sz w:val="28"/>
          <w:szCs w:val="28"/>
          <w:lang w:val="el-GR"/>
        </w:rPr>
        <w:t>Δ</w:t>
      </w:r>
      <w:r>
        <w:rPr>
          <w:rFonts w:ascii="Bookman Old Style" w:hAnsi="Bookman Old Style" w:cs="Arial"/>
          <w:sz w:val="28"/>
          <w:szCs w:val="28"/>
          <w:lang w:val="el-GR"/>
        </w:rPr>
        <w:t xml:space="preserve">ιάταγμα, δια του οποίου διέταξε την αναστολή μερικών από τα διατάγματα που είχαν εκδοθεί στις 21/9/2020, μέχρι την εκδίκαση της Έφεσης υπ’ αρ. Ε83/2022. </w:t>
      </w:r>
    </w:p>
    <w:p w14:paraId="6DD055E0" w14:textId="77777777" w:rsidR="006916A2" w:rsidRDefault="006916A2" w:rsidP="00963265">
      <w:pPr>
        <w:spacing w:line="480" w:lineRule="auto"/>
        <w:ind w:right="-35"/>
        <w:jc w:val="both"/>
        <w:rPr>
          <w:rFonts w:ascii="Bookman Old Style" w:hAnsi="Bookman Old Style" w:cs="Arial"/>
          <w:sz w:val="28"/>
          <w:szCs w:val="28"/>
          <w:lang w:val="el-GR"/>
        </w:rPr>
      </w:pPr>
    </w:p>
    <w:p w14:paraId="52EDD74B" w14:textId="61663018" w:rsidR="006916A2" w:rsidRPr="006916A2" w:rsidRDefault="006916A2"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Ακολούθησε από μέρους των Εφεσιβλήτων καταχώρ</w:t>
      </w:r>
      <w:r w:rsidR="00E612FD">
        <w:rPr>
          <w:rFonts w:ascii="Bookman Old Style" w:hAnsi="Bookman Old Style" w:cs="Arial"/>
          <w:sz w:val="28"/>
          <w:szCs w:val="28"/>
          <w:lang w:val="el-GR"/>
        </w:rPr>
        <w:t>ι</w:t>
      </w:r>
      <w:r>
        <w:rPr>
          <w:rFonts w:ascii="Bookman Old Style" w:hAnsi="Bookman Old Style" w:cs="Arial"/>
          <w:sz w:val="28"/>
          <w:szCs w:val="28"/>
          <w:lang w:val="el-GR"/>
        </w:rPr>
        <w:t>ση αιτήματος για λήψη άδειας του Δικαστηρίου για την καταχώρ</w:t>
      </w:r>
      <w:r w:rsidR="00E612FD">
        <w:rPr>
          <w:rFonts w:ascii="Bookman Old Style" w:hAnsi="Bookman Old Style" w:cs="Arial"/>
          <w:sz w:val="28"/>
          <w:szCs w:val="28"/>
          <w:lang w:val="el-GR"/>
        </w:rPr>
        <w:t>ι</w:t>
      </w:r>
      <w:r>
        <w:rPr>
          <w:rFonts w:ascii="Bookman Old Style" w:hAnsi="Bookman Old Style" w:cs="Arial"/>
          <w:sz w:val="28"/>
          <w:szCs w:val="28"/>
          <w:lang w:val="el-GR"/>
        </w:rPr>
        <w:t xml:space="preserve">ση αίτησης δια κλήσεως για την έκδοση </w:t>
      </w:r>
      <w:r>
        <w:rPr>
          <w:rFonts w:ascii="Bookman Old Style" w:hAnsi="Bookman Old Style" w:cs="Arial"/>
          <w:i/>
          <w:iCs/>
          <w:sz w:val="28"/>
          <w:szCs w:val="28"/>
          <w:lang w:val="en-US"/>
        </w:rPr>
        <w:t>Certiorari</w:t>
      </w:r>
      <w:r>
        <w:rPr>
          <w:rFonts w:ascii="Bookman Old Style" w:hAnsi="Bookman Old Style" w:cs="Arial"/>
          <w:i/>
          <w:iCs/>
          <w:sz w:val="28"/>
          <w:szCs w:val="28"/>
          <w:lang w:val="el-GR"/>
        </w:rPr>
        <w:t xml:space="preserve"> </w:t>
      </w:r>
      <w:r>
        <w:rPr>
          <w:rFonts w:ascii="Bookman Old Style" w:hAnsi="Bookman Old Style" w:cs="Arial"/>
          <w:sz w:val="28"/>
          <w:szCs w:val="28"/>
          <w:lang w:val="el-GR"/>
        </w:rPr>
        <w:t xml:space="preserve">και </w:t>
      </w:r>
      <w:r w:rsidRPr="006916A2">
        <w:rPr>
          <w:rFonts w:ascii="Bookman Old Style" w:hAnsi="Bookman Old Style" w:cs="Arial"/>
          <w:i/>
          <w:iCs/>
          <w:sz w:val="28"/>
          <w:szCs w:val="28"/>
          <w:lang w:val="en-US"/>
        </w:rPr>
        <w:t>Prohibition</w:t>
      </w:r>
      <w:r w:rsidRPr="006916A2">
        <w:rPr>
          <w:rFonts w:ascii="Bookman Old Style" w:hAnsi="Bookman Old Style" w:cs="Arial"/>
          <w:sz w:val="28"/>
          <w:szCs w:val="28"/>
          <w:lang w:val="el-GR"/>
        </w:rPr>
        <w:t xml:space="preserve">. </w:t>
      </w:r>
      <w:r>
        <w:rPr>
          <w:rFonts w:ascii="Bookman Old Style" w:hAnsi="Bookman Old Style" w:cs="Arial"/>
          <w:sz w:val="28"/>
          <w:szCs w:val="28"/>
          <w:lang w:val="el-GR"/>
        </w:rPr>
        <w:t>Αφού τους εδόθη σχετική άδεια και καταχωρήθηκε ένσταση από τους Εφεσείοντες, το πρωτόδικο Δικαστήριο ακύρωσε το Διάταγμα ημερ. 23/5/2022.</w:t>
      </w:r>
    </w:p>
    <w:p w14:paraId="002C1919" w14:textId="77777777" w:rsidR="00E55B7C" w:rsidRDefault="00E55B7C" w:rsidP="00963265">
      <w:pPr>
        <w:spacing w:line="480" w:lineRule="auto"/>
        <w:ind w:right="-35"/>
        <w:jc w:val="both"/>
        <w:rPr>
          <w:rFonts w:ascii="Bookman Old Style" w:hAnsi="Bookman Old Style" w:cs="Arial"/>
          <w:sz w:val="28"/>
          <w:szCs w:val="28"/>
          <w:lang w:val="el-GR"/>
        </w:rPr>
      </w:pPr>
    </w:p>
    <w:p w14:paraId="223661CC" w14:textId="7D6787DE" w:rsidR="008468D1" w:rsidRDefault="00E55B7C"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εξετάζοντας το κατά πόσο η Απόφαση ημερ. 21/9/2020 ή μέρος αυτής και συναφώς το </w:t>
      </w:r>
      <w:r w:rsidR="005724FC">
        <w:rPr>
          <w:rFonts w:ascii="Bookman Old Style" w:hAnsi="Bookman Old Style" w:cs="Arial"/>
          <w:sz w:val="28"/>
          <w:szCs w:val="28"/>
          <w:lang w:val="el-GR"/>
        </w:rPr>
        <w:t>Δ</w:t>
      </w:r>
      <w:r>
        <w:rPr>
          <w:rFonts w:ascii="Bookman Old Style" w:hAnsi="Bookman Old Style" w:cs="Arial"/>
          <w:sz w:val="28"/>
          <w:szCs w:val="28"/>
          <w:lang w:val="el-GR"/>
        </w:rPr>
        <w:t xml:space="preserve">ιάταγμα ημερ. </w:t>
      </w:r>
      <w:r w:rsidR="00BF2C66" w:rsidRPr="00BF2C66">
        <w:rPr>
          <w:rFonts w:ascii="Bookman Old Style" w:hAnsi="Bookman Old Style" w:cs="Arial"/>
          <w:sz w:val="28"/>
          <w:szCs w:val="28"/>
          <w:lang w:val="el-GR"/>
        </w:rPr>
        <w:t>1</w:t>
      </w:r>
      <w:r>
        <w:rPr>
          <w:rFonts w:ascii="Bookman Old Style" w:hAnsi="Bookman Old Style" w:cs="Arial"/>
          <w:sz w:val="28"/>
          <w:szCs w:val="28"/>
          <w:lang w:val="el-GR"/>
        </w:rPr>
        <w:t xml:space="preserve">6/10/2020 θα μπορούσε να ανασταλεί λόγω της εκκρεμοδικίας της Έφεσης υπ’ αρ. Ε83/2022, κατέληξε ότι κάτι τέτοιο δεν ήταν επιτρεπτό κατ’ επίκληση της </w:t>
      </w:r>
      <w:r w:rsidRPr="006916A2">
        <w:rPr>
          <w:rFonts w:ascii="Bookman Old Style" w:hAnsi="Bookman Old Style" w:cs="Arial"/>
          <w:b/>
          <w:bCs/>
          <w:i/>
          <w:iCs/>
          <w:sz w:val="28"/>
          <w:szCs w:val="28"/>
          <w:lang w:val="el-GR"/>
        </w:rPr>
        <w:t>Δ. 35, θ. 18</w:t>
      </w:r>
      <w:r>
        <w:rPr>
          <w:rFonts w:ascii="Bookman Old Style" w:hAnsi="Bookman Old Style" w:cs="Arial"/>
          <w:sz w:val="28"/>
          <w:szCs w:val="28"/>
          <w:lang w:val="el-GR"/>
        </w:rPr>
        <w:t xml:space="preserve"> των </w:t>
      </w:r>
      <w:r w:rsidRPr="006916A2">
        <w:rPr>
          <w:rFonts w:ascii="Bookman Old Style" w:hAnsi="Bookman Old Style" w:cs="Arial"/>
          <w:b/>
          <w:bCs/>
          <w:i/>
          <w:iCs/>
          <w:sz w:val="28"/>
          <w:szCs w:val="28"/>
          <w:lang w:val="el-GR"/>
        </w:rPr>
        <w:t>Θεσμών Πολιτικής Δικονομίας</w:t>
      </w:r>
      <w:r w:rsidR="005724FC">
        <w:rPr>
          <w:rFonts w:ascii="Bookman Old Style" w:hAnsi="Bookman Old Style" w:cs="Arial"/>
          <w:b/>
          <w:bCs/>
          <w:i/>
          <w:iCs/>
          <w:sz w:val="28"/>
          <w:szCs w:val="28"/>
          <w:lang w:val="el-GR"/>
        </w:rPr>
        <w:t xml:space="preserve"> </w:t>
      </w:r>
      <w:r w:rsidR="005724FC" w:rsidRPr="005724FC">
        <w:rPr>
          <w:rFonts w:ascii="Bookman Old Style" w:hAnsi="Bookman Old Style" w:cs="Arial"/>
          <w:sz w:val="28"/>
          <w:szCs w:val="28"/>
          <w:lang w:val="el-GR"/>
        </w:rPr>
        <w:t>ως ίσχυαν τότε</w:t>
      </w:r>
      <w:r w:rsidRPr="005724FC">
        <w:rPr>
          <w:rFonts w:ascii="Bookman Old Style" w:hAnsi="Bookman Old Style" w:cs="Arial"/>
          <w:sz w:val="28"/>
          <w:szCs w:val="28"/>
          <w:lang w:val="el-GR"/>
        </w:rPr>
        <w:t>.</w:t>
      </w:r>
      <w:r>
        <w:rPr>
          <w:rFonts w:ascii="Bookman Old Style" w:hAnsi="Bookman Old Style" w:cs="Arial"/>
          <w:sz w:val="28"/>
          <w:szCs w:val="28"/>
          <w:lang w:val="el-GR"/>
        </w:rPr>
        <w:t xml:space="preserve"> Όπως το έθεσε, «</w:t>
      </w:r>
      <w:r>
        <w:rPr>
          <w:rFonts w:ascii="Bookman Old Style" w:hAnsi="Bookman Old Style" w:cs="Arial"/>
          <w:i/>
          <w:iCs/>
          <w:sz w:val="28"/>
          <w:szCs w:val="28"/>
          <w:lang w:val="el-GR"/>
        </w:rPr>
        <w:t>δεν μπορούσε …. στο πλαίσιο της εκκρεμοδικίας της έφεσης υπ’ αρ. Ε83/22 να ανασταλεί η εκτέλεση άλλης δικαστικής απόφασης που δεν αποτελούσε το αντικείμενο της εκκρεμοδικίας</w:t>
      </w:r>
      <w:r>
        <w:rPr>
          <w:rFonts w:ascii="Bookman Old Style" w:hAnsi="Bookman Old Style" w:cs="Arial"/>
          <w:sz w:val="28"/>
          <w:szCs w:val="28"/>
          <w:lang w:val="el-GR"/>
        </w:rPr>
        <w:t>». Θεώρησε ότι κάτι τέτοιο αποτελούσε νομικό σφάλμα του Δικαστηρίου, έκδηλο στο πρακτικό. Στη βάση της εν λόγω διαπίστωσης</w:t>
      </w:r>
      <w:r w:rsidR="006916A2">
        <w:rPr>
          <w:rFonts w:ascii="Bookman Old Style" w:hAnsi="Bookman Old Style" w:cs="Arial"/>
          <w:sz w:val="28"/>
          <w:szCs w:val="28"/>
          <w:lang w:val="el-GR"/>
        </w:rPr>
        <w:t>,</w:t>
      </w:r>
      <w:r>
        <w:rPr>
          <w:rFonts w:ascii="Bookman Old Style" w:hAnsi="Bookman Old Style" w:cs="Arial"/>
          <w:sz w:val="28"/>
          <w:szCs w:val="28"/>
          <w:lang w:val="el-GR"/>
        </w:rPr>
        <w:t xml:space="preserve"> κατέληξε ότι</w:t>
      </w:r>
      <w:r w:rsidR="006916A2">
        <w:rPr>
          <w:rFonts w:ascii="Bookman Old Style" w:hAnsi="Bookman Old Style" w:cs="Arial"/>
          <w:sz w:val="28"/>
          <w:szCs w:val="28"/>
          <w:lang w:val="el-GR"/>
        </w:rPr>
        <w:t>,</w:t>
      </w:r>
      <w:r>
        <w:rPr>
          <w:rFonts w:ascii="Bookman Old Style" w:hAnsi="Bookman Old Style" w:cs="Arial"/>
          <w:sz w:val="28"/>
          <w:szCs w:val="28"/>
          <w:lang w:val="el-GR"/>
        </w:rPr>
        <w:t xml:space="preserve"> στην προκείμενη περίπτωση</w:t>
      </w:r>
      <w:r w:rsidR="006916A2">
        <w:rPr>
          <w:rFonts w:ascii="Bookman Old Style" w:hAnsi="Bookman Old Style" w:cs="Arial"/>
          <w:sz w:val="28"/>
          <w:szCs w:val="28"/>
          <w:lang w:val="el-GR"/>
        </w:rPr>
        <w:t>,</w:t>
      </w:r>
      <w:r>
        <w:rPr>
          <w:rFonts w:ascii="Bookman Old Style" w:hAnsi="Bookman Old Style" w:cs="Arial"/>
          <w:sz w:val="28"/>
          <w:szCs w:val="28"/>
          <w:lang w:val="el-GR"/>
        </w:rPr>
        <w:t xml:space="preserve"> το </w:t>
      </w:r>
      <w:r w:rsidR="005724FC">
        <w:rPr>
          <w:rFonts w:ascii="Bookman Old Style" w:hAnsi="Bookman Old Style" w:cs="Arial"/>
          <w:sz w:val="28"/>
          <w:szCs w:val="28"/>
          <w:lang w:val="el-GR"/>
        </w:rPr>
        <w:t>Κ</w:t>
      </w:r>
      <w:r>
        <w:rPr>
          <w:rFonts w:ascii="Bookman Old Style" w:hAnsi="Bookman Old Style" w:cs="Arial"/>
          <w:sz w:val="28"/>
          <w:szCs w:val="28"/>
          <w:lang w:val="el-GR"/>
        </w:rPr>
        <w:t xml:space="preserve">ατώτερο Δικαστήριο είχε ενεργήσει εκτός του καθορισμένου από τη </w:t>
      </w:r>
      <w:r w:rsidR="00754DD0">
        <w:rPr>
          <w:rFonts w:ascii="Bookman Old Style" w:hAnsi="Bookman Old Style" w:cs="Arial"/>
          <w:sz w:val="28"/>
          <w:szCs w:val="28"/>
          <w:lang w:val="el-GR"/>
        </w:rPr>
        <w:t xml:space="preserve">          </w:t>
      </w:r>
      <w:r w:rsidRPr="006916A2">
        <w:rPr>
          <w:rFonts w:ascii="Bookman Old Style" w:hAnsi="Bookman Old Style" w:cs="Arial"/>
          <w:b/>
          <w:bCs/>
          <w:i/>
          <w:iCs/>
          <w:sz w:val="28"/>
          <w:szCs w:val="28"/>
          <w:lang w:val="el-GR"/>
        </w:rPr>
        <w:t>Δ. 35, θ. 18</w:t>
      </w:r>
      <w:r>
        <w:rPr>
          <w:rFonts w:ascii="Bookman Old Style" w:hAnsi="Bookman Old Style" w:cs="Arial"/>
          <w:sz w:val="28"/>
          <w:szCs w:val="28"/>
          <w:lang w:val="el-GR"/>
        </w:rPr>
        <w:t xml:space="preserve"> πλαισίου. </w:t>
      </w:r>
    </w:p>
    <w:p w14:paraId="5D861B9B" w14:textId="7184C12C" w:rsidR="00E55B7C" w:rsidRDefault="00E55B7C"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Επιπλέον, έκρινε ότι δεν υφίστατο</w:t>
      </w:r>
      <w:r w:rsidR="006916A2">
        <w:rPr>
          <w:rFonts w:ascii="Bookman Old Style" w:hAnsi="Bookman Old Style" w:cs="Arial"/>
          <w:sz w:val="28"/>
          <w:szCs w:val="28"/>
          <w:lang w:val="el-GR"/>
        </w:rPr>
        <w:t>,</w:t>
      </w:r>
      <w:r>
        <w:rPr>
          <w:rFonts w:ascii="Bookman Old Style" w:hAnsi="Bookman Old Style" w:cs="Arial"/>
          <w:sz w:val="28"/>
          <w:szCs w:val="28"/>
          <w:lang w:val="el-GR"/>
        </w:rPr>
        <w:t xml:space="preserve"> στην υπό εξέταση περίπτωση</w:t>
      </w:r>
      <w:r w:rsidR="006916A2">
        <w:rPr>
          <w:rFonts w:ascii="Bookman Old Style" w:hAnsi="Bookman Old Style" w:cs="Arial"/>
          <w:sz w:val="28"/>
          <w:szCs w:val="28"/>
          <w:lang w:val="el-GR"/>
        </w:rPr>
        <w:t>,</w:t>
      </w:r>
      <w:r>
        <w:rPr>
          <w:rFonts w:ascii="Bookman Old Style" w:hAnsi="Bookman Old Style" w:cs="Arial"/>
          <w:sz w:val="28"/>
          <w:szCs w:val="28"/>
          <w:lang w:val="el-GR"/>
        </w:rPr>
        <w:t xml:space="preserve"> άλλο ένδικο μέσο στη διάθεση των Εφεσειόντων, επισημαίνοντας</w:t>
      </w:r>
      <w:r w:rsidR="006916A2">
        <w:rPr>
          <w:rFonts w:ascii="Bookman Old Style" w:hAnsi="Bookman Old Style" w:cs="Arial"/>
          <w:sz w:val="28"/>
          <w:szCs w:val="28"/>
          <w:lang w:val="el-GR"/>
        </w:rPr>
        <w:t>,</w:t>
      </w:r>
      <w:r>
        <w:rPr>
          <w:rFonts w:ascii="Bookman Old Style" w:hAnsi="Bookman Old Style" w:cs="Arial"/>
          <w:sz w:val="28"/>
          <w:szCs w:val="28"/>
          <w:lang w:val="el-GR"/>
        </w:rPr>
        <w:t xml:space="preserve"> συγχρόνως</w:t>
      </w:r>
      <w:r w:rsidR="006916A2">
        <w:rPr>
          <w:rFonts w:ascii="Bookman Old Style" w:hAnsi="Bookman Old Style" w:cs="Arial"/>
          <w:sz w:val="28"/>
          <w:szCs w:val="28"/>
          <w:lang w:val="el-GR"/>
        </w:rPr>
        <w:t>,</w:t>
      </w:r>
      <w:r>
        <w:rPr>
          <w:rFonts w:ascii="Bookman Old Style" w:hAnsi="Bookman Old Style" w:cs="Arial"/>
          <w:sz w:val="28"/>
          <w:szCs w:val="28"/>
          <w:lang w:val="el-GR"/>
        </w:rPr>
        <w:t xml:space="preserve"> ότι η </w:t>
      </w:r>
      <w:r w:rsidRPr="006916A2">
        <w:rPr>
          <w:rFonts w:ascii="Bookman Old Style" w:hAnsi="Bookman Old Style" w:cs="Arial"/>
          <w:b/>
          <w:bCs/>
          <w:i/>
          <w:iCs/>
          <w:sz w:val="28"/>
          <w:szCs w:val="28"/>
          <w:lang w:val="el-GR"/>
        </w:rPr>
        <w:t>Δ. 48, θ. 8(4)</w:t>
      </w:r>
      <w:r>
        <w:rPr>
          <w:rFonts w:ascii="Bookman Old Style" w:hAnsi="Bookman Old Style" w:cs="Arial"/>
          <w:sz w:val="28"/>
          <w:szCs w:val="28"/>
          <w:lang w:val="el-GR"/>
        </w:rPr>
        <w:t xml:space="preserve"> των </w:t>
      </w:r>
      <w:r w:rsidRPr="006916A2">
        <w:rPr>
          <w:rFonts w:ascii="Bookman Old Style" w:hAnsi="Bookman Old Style" w:cs="Arial"/>
          <w:b/>
          <w:bCs/>
          <w:i/>
          <w:iCs/>
          <w:sz w:val="28"/>
          <w:szCs w:val="28"/>
          <w:lang w:val="el-GR"/>
        </w:rPr>
        <w:t>Θεσμών</w:t>
      </w:r>
      <w:r>
        <w:rPr>
          <w:rFonts w:ascii="Bookman Old Style" w:hAnsi="Bookman Old Style" w:cs="Arial"/>
          <w:sz w:val="28"/>
          <w:szCs w:val="28"/>
          <w:lang w:val="el-GR"/>
        </w:rPr>
        <w:t xml:space="preserve"> δεν προσφέρετο. </w:t>
      </w:r>
    </w:p>
    <w:p w14:paraId="6CBF4379" w14:textId="77777777" w:rsidR="0010413E" w:rsidRDefault="0010413E" w:rsidP="00963265">
      <w:pPr>
        <w:spacing w:line="480" w:lineRule="auto"/>
        <w:ind w:right="-35"/>
        <w:jc w:val="both"/>
        <w:rPr>
          <w:rFonts w:ascii="Bookman Old Style" w:hAnsi="Bookman Old Style" w:cs="Arial"/>
          <w:sz w:val="28"/>
          <w:szCs w:val="28"/>
          <w:lang w:val="el-GR"/>
        </w:rPr>
      </w:pPr>
    </w:p>
    <w:p w14:paraId="28028C5D" w14:textId="0925CD2C" w:rsidR="0010413E" w:rsidRDefault="0010413E"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ορθότητα της υπό κρίση Απόφασης προσβάλλεται με </w:t>
      </w:r>
      <w:r w:rsidRPr="006916A2">
        <w:rPr>
          <w:rFonts w:ascii="Bookman Old Style" w:hAnsi="Bookman Old Style" w:cs="Arial"/>
          <w:b/>
          <w:bCs/>
          <w:sz w:val="28"/>
          <w:szCs w:val="28"/>
          <w:lang w:val="el-GR"/>
        </w:rPr>
        <w:t xml:space="preserve">τρεις </w:t>
      </w:r>
      <w:r>
        <w:rPr>
          <w:rFonts w:ascii="Bookman Old Style" w:hAnsi="Bookman Old Style" w:cs="Arial"/>
          <w:sz w:val="28"/>
          <w:szCs w:val="28"/>
          <w:lang w:val="el-GR"/>
        </w:rPr>
        <w:t xml:space="preserve">συνολικά </w:t>
      </w:r>
      <w:r w:rsidRPr="006916A2">
        <w:rPr>
          <w:rFonts w:ascii="Bookman Old Style" w:hAnsi="Bookman Old Style" w:cs="Arial"/>
          <w:b/>
          <w:bCs/>
          <w:sz w:val="28"/>
          <w:szCs w:val="28"/>
          <w:lang w:val="el-GR"/>
        </w:rPr>
        <w:t>Λόγους Έφεσης</w:t>
      </w:r>
      <w:r>
        <w:rPr>
          <w:rFonts w:ascii="Bookman Old Style" w:hAnsi="Bookman Old Style" w:cs="Arial"/>
          <w:sz w:val="28"/>
          <w:szCs w:val="28"/>
          <w:lang w:val="el-GR"/>
        </w:rPr>
        <w:t>.</w:t>
      </w:r>
      <w:r w:rsidR="006513A3">
        <w:rPr>
          <w:rFonts w:ascii="Bookman Old Style" w:hAnsi="Bookman Old Style" w:cs="Arial"/>
          <w:sz w:val="28"/>
          <w:szCs w:val="28"/>
          <w:lang w:val="el-GR"/>
        </w:rPr>
        <w:t xml:space="preserve"> Επισημαίνουμε, εν προκειμένω, ότι, παρά το γεγονός ότι στο Εφετήριο καταγράφονταν </w:t>
      </w:r>
      <w:r w:rsidR="006513A3" w:rsidRPr="006513A3">
        <w:rPr>
          <w:rFonts w:ascii="Bookman Old Style" w:hAnsi="Bookman Old Style" w:cs="Arial"/>
          <w:b/>
          <w:bCs/>
          <w:sz w:val="28"/>
          <w:szCs w:val="28"/>
          <w:lang w:val="el-GR"/>
        </w:rPr>
        <w:t xml:space="preserve">τέσσερις </w:t>
      </w:r>
      <w:r w:rsidR="006513A3">
        <w:rPr>
          <w:rFonts w:ascii="Bookman Old Style" w:hAnsi="Bookman Old Style" w:cs="Arial"/>
          <w:sz w:val="28"/>
          <w:szCs w:val="28"/>
          <w:lang w:val="el-GR"/>
        </w:rPr>
        <w:t xml:space="preserve">Λόγοι Έφεσης, με δεδομένο ότι στο πλαίσιο του περιγράμματος Αγόρευσης που καταχωρήθηκε από τους Εφεσείοντες ουδεμία αναφορά γίνεται στον </w:t>
      </w:r>
      <w:r w:rsidR="006513A3" w:rsidRPr="006513A3">
        <w:rPr>
          <w:rFonts w:ascii="Bookman Old Style" w:hAnsi="Bookman Old Style" w:cs="Arial"/>
          <w:b/>
          <w:bCs/>
          <w:sz w:val="28"/>
          <w:szCs w:val="28"/>
          <w:lang w:val="el-GR"/>
        </w:rPr>
        <w:t>4</w:t>
      </w:r>
      <w:r w:rsidR="00754DD0" w:rsidRPr="00754DD0">
        <w:rPr>
          <w:rFonts w:ascii="Bookman Old Style" w:hAnsi="Bookman Old Style" w:cs="Arial"/>
          <w:b/>
          <w:bCs/>
          <w:sz w:val="28"/>
          <w:szCs w:val="28"/>
          <w:vertAlign w:val="superscript"/>
          <w:lang w:val="el-GR"/>
        </w:rPr>
        <w:t>ο</w:t>
      </w:r>
      <w:r w:rsidR="00754DD0">
        <w:rPr>
          <w:rFonts w:ascii="Bookman Old Style" w:hAnsi="Bookman Old Style" w:cs="Arial"/>
          <w:b/>
          <w:bCs/>
          <w:sz w:val="28"/>
          <w:szCs w:val="28"/>
          <w:lang w:val="el-GR"/>
        </w:rPr>
        <w:t xml:space="preserve"> </w:t>
      </w:r>
      <w:r w:rsidR="006513A3" w:rsidRPr="006513A3">
        <w:rPr>
          <w:rFonts w:ascii="Bookman Old Style" w:hAnsi="Bookman Old Style" w:cs="Arial"/>
          <w:b/>
          <w:bCs/>
          <w:sz w:val="28"/>
          <w:szCs w:val="28"/>
          <w:lang w:val="el-GR"/>
        </w:rPr>
        <w:t>Λόγο Έφεσης</w:t>
      </w:r>
      <w:r w:rsidR="00754DD0">
        <w:rPr>
          <w:rFonts w:ascii="Bookman Old Style" w:hAnsi="Bookman Old Style" w:cs="Arial"/>
          <w:sz w:val="28"/>
          <w:szCs w:val="28"/>
          <w:lang w:val="el-GR"/>
        </w:rPr>
        <w:t>,</w:t>
      </w:r>
      <w:r w:rsidR="006513A3">
        <w:rPr>
          <w:rFonts w:ascii="Bookman Old Style" w:hAnsi="Bookman Old Style" w:cs="Arial"/>
          <w:b/>
          <w:bCs/>
          <w:sz w:val="28"/>
          <w:szCs w:val="28"/>
          <w:lang w:val="el-GR"/>
        </w:rPr>
        <w:t xml:space="preserve"> </w:t>
      </w:r>
      <w:r w:rsidR="006513A3" w:rsidRPr="006513A3">
        <w:rPr>
          <w:rFonts w:ascii="Bookman Old Style" w:hAnsi="Bookman Old Style" w:cs="Arial"/>
          <w:sz w:val="28"/>
          <w:szCs w:val="28"/>
          <w:lang w:val="el-GR"/>
        </w:rPr>
        <w:t>αναπόδραστα</w:t>
      </w:r>
      <w:r w:rsidR="006513A3">
        <w:rPr>
          <w:rFonts w:ascii="Bookman Old Style" w:hAnsi="Bookman Old Style" w:cs="Arial"/>
          <w:b/>
          <w:bCs/>
          <w:sz w:val="28"/>
          <w:szCs w:val="28"/>
          <w:lang w:val="el-GR"/>
        </w:rPr>
        <w:t xml:space="preserve"> </w:t>
      </w:r>
      <w:r w:rsidR="006513A3" w:rsidRPr="006513A3">
        <w:rPr>
          <w:rFonts w:ascii="Bookman Old Style" w:hAnsi="Bookman Old Style" w:cs="Arial"/>
          <w:sz w:val="28"/>
          <w:szCs w:val="28"/>
          <w:lang w:val="el-GR"/>
        </w:rPr>
        <w:t xml:space="preserve">προκύπτει ότι ο εν λόγω Λόγος Έφεσης </w:t>
      </w:r>
      <w:r w:rsidR="006513A3">
        <w:rPr>
          <w:rFonts w:ascii="Bookman Old Style" w:hAnsi="Bookman Old Style" w:cs="Arial"/>
          <w:sz w:val="28"/>
          <w:szCs w:val="28"/>
          <w:lang w:val="el-GR"/>
        </w:rPr>
        <w:t>έχει, τελικώς, εγκαταληφθεί.</w:t>
      </w:r>
    </w:p>
    <w:p w14:paraId="251C47D7" w14:textId="77777777" w:rsidR="0010413E" w:rsidRDefault="0010413E" w:rsidP="00963265">
      <w:pPr>
        <w:spacing w:line="480" w:lineRule="auto"/>
        <w:ind w:right="-35"/>
        <w:jc w:val="both"/>
        <w:rPr>
          <w:rFonts w:ascii="Bookman Old Style" w:hAnsi="Bookman Old Style" w:cs="Arial"/>
          <w:sz w:val="28"/>
          <w:szCs w:val="28"/>
          <w:lang w:val="el-GR"/>
        </w:rPr>
      </w:pPr>
    </w:p>
    <w:p w14:paraId="251CFF76" w14:textId="5A054378" w:rsidR="0010413E" w:rsidRDefault="0010413E"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τον </w:t>
      </w:r>
      <w:r>
        <w:rPr>
          <w:rFonts w:ascii="Bookman Old Style" w:hAnsi="Bookman Old Style" w:cs="Arial"/>
          <w:b/>
          <w:bCs/>
          <w:sz w:val="28"/>
          <w:szCs w:val="28"/>
          <w:lang w:val="el-GR"/>
        </w:rPr>
        <w:t>1</w:t>
      </w:r>
      <w:r w:rsidRPr="0010413E">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οι Εφεσείοντες προβάλλουν ότι εσφαλμένα το πρωτόδικο Δικαστήριο κατέληξε ότι το Επαρχιακό Δικαστήριο δεν θα μπορούσε να εκδώσει μονομερώς το Διάταγμα ημερ. 23/5/2022 για αναστολή της ερήμην απόφασης μέχρι εκδικάσεως της Έφεσης Ε83/2022. Με το </w:t>
      </w:r>
      <w:r>
        <w:rPr>
          <w:rFonts w:ascii="Bookman Old Style" w:hAnsi="Bookman Old Style" w:cs="Arial"/>
          <w:b/>
          <w:bCs/>
          <w:sz w:val="28"/>
          <w:szCs w:val="28"/>
          <w:lang w:val="el-GR"/>
        </w:rPr>
        <w:t>2</w:t>
      </w:r>
      <w:r w:rsidRPr="0010413E">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προβάλλεται ότι η ενδιάμεση απόφαση απόρριψης </w:t>
      </w:r>
      <w:r w:rsidR="00294FE1">
        <w:rPr>
          <w:rFonts w:ascii="Bookman Old Style" w:hAnsi="Bookman Old Style" w:cs="Arial"/>
          <w:sz w:val="28"/>
          <w:szCs w:val="28"/>
          <w:lang w:val="el-GR"/>
        </w:rPr>
        <w:t xml:space="preserve">του παραμερισμού ημερ. 30/3/2022, η οποία εφεσιβλήθηκε με την υπ’ αρ. Ε83/2022 Έφεση, είναι άμεσα και άρρηκτα συνδεδεμένη με την ερήμην απόφαση, η οποία δεν μπορούσε και/ή ήτο δικονομικά ανέφικτο να εφεσιβληθεί. Μέσω του </w:t>
      </w:r>
      <w:r w:rsidR="00294FE1">
        <w:rPr>
          <w:rFonts w:ascii="Bookman Old Style" w:hAnsi="Bookman Old Style" w:cs="Arial"/>
          <w:b/>
          <w:bCs/>
          <w:sz w:val="28"/>
          <w:szCs w:val="28"/>
          <w:lang w:val="el-GR"/>
        </w:rPr>
        <w:t>3</w:t>
      </w:r>
      <w:r w:rsidR="00294FE1" w:rsidRPr="00294FE1">
        <w:rPr>
          <w:rFonts w:ascii="Bookman Old Style" w:hAnsi="Bookman Old Style" w:cs="Arial"/>
          <w:b/>
          <w:bCs/>
          <w:sz w:val="28"/>
          <w:szCs w:val="28"/>
          <w:vertAlign w:val="superscript"/>
          <w:lang w:val="el-GR"/>
        </w:rPr>
        <w:t>ου</w:t>
      </w:r>
      <w:r w:rsidR="00294FE1">
        <w:rPr>
          <w:rFonts w:ascii="Bookman Old Style" w:hAnsi="Bookman Old Style" w:cs="Arial"/>
          <w:b/>
          <w:bCs/>
          <w:sz w:val="28"/>
          <w:szCs w:val="28"/>
          <w:lang w:val="el-GR"/>
        </w:rPr>
        <w:t xml:space="preserve"> Λόγου Έφεσης</w:t>
      </w:r>
      <w:r w:rsidR="00294FE1">
        <w:rPr>
          <w:rFonts w:ascii="Bookman Old Style" w:hAnsi="Bookman Old Style" w:cs="Arial"/>
          <w:sz w:val="28"/>
          <w:szCs w:val="28"/>
          <w:lang w:val="el-GR"/>
        </w:rPr>
        <w:t xml:space="preserve"> προβάλλεται ότι εσφαλμένα το πρωτόδικο Δικαστήριο εξέδωσε το προνομιακό ένταλμα </w:t>
      </w:r>
      <w:r w:rsidR="00294FE1">
        <w:rPr>
          <w:rFonts w:ascii="Bookman Old Style" w:hAnsi="Bookman Old Style" w:cs="Arial"/>
          <w:i/>
          <w:iCs/>
          <w:sz w:val="28"/>
          <w:szCs w:val="28"/>
          <w:lang w:val="en-US"/>
        </w:rPr>
        <w:t>Certiorari</w:t>
      </w:r>
      <w:r w:rsidR="00294FE1">
        <w:rPr>
          <w:rFonts w:ascii="Bookman Old Style" w:hAnsi="Bookman Old Style" w:cs="Arial"/>
          <w:sz w:val="28"/>
          <w:szCs w:val="28"/>
          <w:lang w:val="el-GR"/>
        </w:rPr>
        <w:t xml:space="preserve">, καθότι στη διάθεση των Εφεσιβλήτων υπήρχε εναλλακτικό ένδικο μέσο. </w:t>
      </w:r>
    </w:p>
    <w:p w14:paraId="160112F9" w14:textId="77777777" w:rsidR="00822D7C" w:rsidRDefault="00822D7C" w:rsidP="00963265">
      <w:pPr>
        <w:spacing w:line="480" w:lineRule="auto"/>
        <w:ind w:right="-35"/>
        <w:jc w:val="both"/>
        <w:rPr>
          <w:rFonts w:ascii="Bookman Old Style" w:hAnsi="Bookman Old Style" w:cs="Arial"/>
          <w:sz w:val="28"/>
          <w:szCs w:val="28"/>
          <w:lang w:val="el-GR"/>
        </w:rPr>
      </w:pPr>
    </w:p>
    <w:p w14:paraId="669BAAC1" w14:textId="2369A99A" w:rsidR="00822D7C" w:rsidRDefault="00BD79DB"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w:t>
      </w:r>
      <w:r>
        <w:rPr>
          <w:rFonts w:ascii="Bookman Old Style" w:hAnsi="Bookman Old Style" w:cs="Arial"/>
          <w:b/>
          <w:bCs/>
          <w:sz w:val="28"/>
          <w:szCs w:val="28"/>
          <w:lang w:val="el-GR"/>
        </w:rPr>
        <w:t>1</w:t>
      </w:r>
      <w:r w:rsidRPr="00BD79DB">
        <w:rPr>
          <w:rFonts w:ascii="Bookman Old Style" w:hAnsi="Bookman Old Style" w:cs="Arial"/>
          <w:b/>
          <w:bCs/>
          <w:sz w:val="28"/>
          <w:szCs w:val="28"/>
          <w:vertAlign w:val="superscript"/>
          <w:lang w:val="el-GR"/>
        </w:rPr>
        <w:t>ος</w:t>
      </w:r>
      <w:r w:rsidRPr="00BD79DB">
        <w:rPr>
          <w:rFonts w:ascii="Bookman Old Style" w:hAnsi="Bookman Old Style" w:cs="Arial"/>
          <w:sz w:val="28"/>
          <w:szCs w:val="28"/>
          <w:lang w:val="el-GR"/>
        </w:rPr>
        <w:t xml:space="preserve"> και</w:t>
      </w:r>
      <w:r>
        <w:rPr>
          <w:rFonts w:ascii="Bookman Old Style" w:hAnsi="Bookman Old Style" w:cs="Arial"/>
          <w:b/>
          <w:bCs/>
          <w:sz w:val="28"/>
          <w:szCs w:val="28"/>
          <w:lang w:val="el-GR"/>
        </w:rPr>
        <w:t xml:space="preserve"> 2</w:t>
      </w:r>
      <w:r>
        <w:rPr>
          <w:rFonts w:ascii="Bookman Old Style" w:hAnsi="Bookman Old Style" w:cs="Arial"/>
          <w:b/>
          <w:bCs/>
          <w:sz w:val="28"/>
          <w:szCs w:val="28"/>
          <w:vertAlign w:val="superscript"/>
          <w:lang w:val="el-GR"/>
        </w:rPr>
        <w:t xml:space="preserve">ος </w:t>
      </w:r>
      <w:r>
        <w:rPr>
          <w:rFonts w:ascii="Bookman Old Style" w:hAnsi="Bookman Old Style" w:cs="Arial"/>
          <w:b/>
          <w:bCs/>
          <w:sz w:val="28"/>
          <w:szCs w:val="28"/>
          <w:lang w:val="el-GR"/>
        </w:rPr>
        <w:t>Λόγος Έφεσης</w:t>
      </w:r>
      <w:r>
        <w:rPr>
          <w:rFonts w:ascii="Bookman Old Style" w:hAnsi="Bookman Old Style" w:cs="Arial"/>
          <w:sz w:val="28"/>
          <w:szCs w:val="28"/>
          <w:lang w:val="el-GR"/>
        </w:rPr>
        <w:t xml:space="preserve"> κρίνονται συναφείς και γι’ αυτό θα εξεταστούν μαζί. </w:t>
      </w:r>
      <w:r w:rsidR="007677B6">
        <w:rPr>
          <w:rFonts w:ascii="Bookman Old Style" w:hAnsi="Bookman Old Style" w:cs="Arial"/>
          <w:sz w:val="28"/>
          <w:szCs w:val="28"/>
          <w:lang w:val="el-GR"/>
        </w:rPr>
        <w:t xml:space="preserve">Παρά την προβληματική διατύπωση, ειδικότερα του </w:t>
      </w:r>
      <w:r w:rsidR="007677B6">
        <w:rPr>
          <w:rFonts w:ascii="Bookman Old Style" w:hAnsi="Bookman Old Style" w:cs="Arial"/>
          <w:b/>
          <w:bCs/>
          <w:sz w:val="28"/>
          <w:szCs w:val="28"/>
          <w:lang w:val="el-GR"/>
        </w:rPr>
        <w:t>2</w:t>
      </w:r>
      <w:r w:rsidR="007677B6" w:rsidRPr="007677B6">
        <w:rPr>
          <w:rFonts w:ascii="Bookman Old Style" w:hAnsi="Bookman Old Style" w:cs="Arial"/>
          <w:b/>
          <w:bCs/>
          <w:sz w:val="28"/>
          <w:szCs w:val="28"/>
          <w:vertAlign w:val="superscript"/>
          <w:lang w:val="el-GR"/>
        </w:rPr>
        <w:t>ου</w:t>
      </w:r>
      <w:r w:rsidR="007677B6">
        <w:rPr>
          <w:rFonts w:ascii="Bookman Old Style" w:hAnsi="Bookman Old Style" w:cs="Arial"/>
          <w:b/>
          <w:bCs/>
          <w:sz w:val="28"/>
          <w:szCs w:val="28"/>
          <w:lang w:val="el-GR"/>
        </w:rPr>
        <w:t xml:space="preserve"> Λόγου Έφεσης</w:t>
      </w:r>
      <w:r w:rsidR="007677B6">
        <w:rPr>
          <w:rFonts w:ascii="Bookman Old Style" w:hAnsi="Bookman Old Style" w:cs="Arial"/>
          <w:sz w:val="28"/>
          <w:szCs w:val="28"/>
          <w:lang w:val="el-GR"/>
        </w:rPr>
        <w:t xml:space="preserve"> λόγω τ</w:t>
      </w:r>
      <w:r w:rsidR="005724FC">
        <w:rPr>
          <w:rFonts w:ascii="Bookman Old Style" w:hAnsi="Bookman Old Style" w:cs="Arial"/>
          <w:sz w:val="28"/>
          <w:szCs w:val="28"/>
          <w:lang w:val="el-GR"/>
        </w:rPr>
        <w:t xml:space="preserve">ου </w:t>
      </w:r>
      <w:r w:rsidR="007677B6">
        <w:rPr>
          <w:rFonts w:ascii="Bookman Old Style" w:hAnsi="Bookman Old Style" w:cs="Arial"/>
          <w:sz w:val="28"/>
          <w:szCs w:val="28"/>
          <w:lang w:val="el-GR"/>
        </w:rPr>
        <w:t xml:space="preserve">μη </w:t>
      </w:r>
      <w:r w:rsidR="005724FC">
        <w:rPr>
          <w:rFonts w:ascii="Bookman Old Style" w:hAnsi="Bookman Old Style" w:cs="Arial"/>
          <w:sz w:val="28"/>
          <w:szCs w:val="28"/>
          <w:lang w:val="el-GR"/>
        </w:rPr>
        <w:t>προσδιορισμού</w:t>
      </w:r>
      <w:r w:rsidR="006916A2">
        <w:rPr>
          <w:rFonts w:ascii="Bookman Old Style" w:hAnsi="Bookman Old Style" w:cs="Arial"/>
          <w:sz w:val="28"/>
          <w:szCs w:val="28"/>
          <w:lang w:val="el-GR"/>
        </w:rPr>
        <w:t>,</w:t>
      </w:r>
      <w:r w:rsidR="007677B6">
        <w:rPr>
          <w:rFonts w:ascii="Bookman Old Style" w:hAnsi="Bookman Old Style" w:cs="Arial"/>
          <w:sz w:val="28"/>
          <w:szCs w:val="28"/>
          <w:lang w:val="el-GR"/>
        </w:rPr>
        <w:t xml:space="preserve"> ουσιαστικά</w:t>
      </w:r>
      <w:r w:rsidR="006916A2">
        <w:rPr>
          <w:rFonts w:ascii="Bookman Old Style" w:hAnsi="Bookman Old Style" w:cs="Arial"/>
          <w:sz w:val="28"/>
          <w:szCs w:val="28"/>
          <w:lang w:val="el-GR"/>
        </w:rPr>
        <w:t>,</w:t>
      </w:r>
      <w:r w:rsidR="007677B6">
        <w:rPr>
          <w:rFonts w:ascii="Bookman Old Style" w:hAnsi="Bookman Old Style" w:cs="Arial"/>
          <w:sz w:val="28"/>
          <w:szCs w:val="28"/>
          <w:lang w:val="el-GR"/>
        </w:rPr>
        <w:t xml:space="preserve"> του σημείου της πρωτόδικης Απόφασης για την οποία εντοπίζεται οποιοδήποτε σφάλμα</w:t>
      </w:r>
      <w:r w:rsidR="00963281">
        <w:rPr>
          <w:rStyle w:val="FootnoteReference"/>
          <w:rFonts w:ascii="Bookman Old Style" w:hAnsi="Bookman Old Style" w:cs="Arial"/>
          <w:sz w:val="28"/>
          <w:szCs w:val="28"/>
          <w:lang w:val="el-GR"/>
        </w:rPr>
        <w:footnoteReference w:id="1"/>
      </w:r>
      <w:r w:rsidR="007677B6">
        <w:rPr>
          <w:rFonts w:ascii="Bookman Old Style" w:hAnsi="Bookman Old Style" w:cs="Arial"/>
          <w:sz w:val="28"/>
          <w:szCs w:val="28"/>
          <w:lang w:val="el-GR"/>
        </w:rPr>
        <w:t>, ό,τι βασικά προκύπτει είναι</w:t>
      </w:r>
      <w:r w:rsidR="005D5EFD">
        <w:rPr>
          <w:rFonts w:ascii="Bookman Old Style" w:hAnsi="Bookman Old Style" w:cs="Arial"/>
          <w:sz w:val="28"/>
          <w:szCs w:val="28"/>
          <w:lang w:val="el-GR"/>
        </w:rPr>
        <w:t xml:space="preserve"> η θέση</w:t>
      </w:r>
      <w:r w:rsidR="007677B6">
        <w:rPr>
          <w:rFonts w:ascii="Bookman Old Style" w:hAnsi="Bookman Old Style" w:cs="Arial"/>
          <w:sz w:val="28"/>
          <w:szCs w:val="28"/>
          <w:lang w:val="el-GR"/>
        </w:rPr>
        <w:t xml:space="preserve"> ότι</w:t>
      </w:r>
      <w:r w:rsidR="004A26A8">
        <w:rPr>
          <w:rFonts w:ascii="Bookman Old Style" w:hAnsi="Bookman Old Style" w:cs="Arial"/>
          <w:sz w:val="28"/>
          <w:szCs w:val="28"/>
          <w:lang w:val="el-GR"/>
        </w:rPr>
        <w:t>,</w:t>
      </w:r>
      <w:r w:rsidR="007677B6">
        <w:rPr>
          <w:rFonts w:ascii="Bookman Old Style" w:hAnsi="Bookman Old Style" w:cs="Arial"/>
          <w:sz w:val="28"/>
          <w:szCs w:val="28"/>
          <w:lang w:val="el-GR"/>
        </w:rPr>
        <w:t xml:space="preserve"> </w:t>
      </w:r>
      <w:r w:rsidR="004A26A8">
        <w:rPr>
          <w:rFonts w:ascii="Bookman Old Style" w:hAnsi="Bookman Old Style" w:cs="Arial"/>
          <w:sz w:val="28"/>
          <w:szCs w:val="28"/>
          <w:lang w:val="el-GR"/>
        </w:rPr>
        <w:t xml:space="preserve">εκκρεμούσης της Έφεσης Ε83/2022, </w:t>
      </w:r>
      <w:r w:rsidR="007677B6">
        <w:rPr>
          <w:rFonts w:ascii="Bookman Old Style" w:hAnsi="Bookman Old Style" w:cs="Arial"/>
          <w:sz w:val="28"/>
          <w:szCs w:val="28"/>
          <w:lang w:val="el-GR"/>
        </w:rPr>
        <w:t>υπήρχε δυνατότητα αναστολής της ερήμην απόφασης</w:t>
      </w:r>
      <w:r w:rsidR="004A26A8">
        <w:rPr>
          <w:rFonts w:ascii="Bookman Old Style" w:hAnsi="Bookman Old Style" w:cs="Arial"/>
          <w:sz w:val="28"/>
          <w:szCs w:val="28"/>
          <w:lang w:val="el-GR"/>
        </w:rPr>
        <w:t xml:space="preserve"> που αφορούσε στην έξωση και παράδοση ακινήτου από τους Εφεσείοντες στους Εφεσίβλητους</w:t>
      </w:r>
      <w:r w:rsidR="0023071A">
        <w:rPr>
          <w:rFonts w:ascii="Bookman Old Style" w:hAnsi="Bookman Old Style" w:cs="Arial"/>
          <w:sz w:val="28"/>
          <w:szCs w:val="28"/>
          <w:lang w:val="el-GR"/>
        </w:rPr>
        <w:t>,</w:t>
      </w:r>
      <w:r w:rsidR="005D5EFD">
        <w:rPr>
          <w:rFonts w:ascii="Bookman Old Style" w:hAnsi="Bookman Old Style" w:cs="Arial"/>
          <w:sz w:val="28"/>
          <w:szCs w:val="28"/>
          <w:lang w:val="el-GR"/>
        </w:rPr>
        <w:t xml:space="preserve"> του οποίου</w:t>
      </w:r>
      <w:r w:rsidR="004A26A8">
        <w:rPr>
          <w:rFonts w:ascii="Bookman Old Style" w:hAnsi="Bookman Old Style" w:cs="Arial"/>
          <w:sz w:val="28"/>
          <w:szCs w:val="28"/>
          <w:lang w:val="el-GR"/>
        </w:rPr>
        <w:t>, σύμφωνα με την εκδοχή των Εφεσειόντων, οι τελευταίοι είναι οι μοναδικοί κάτοχοι και αποκλειστικοί ιδιοκτήτες.</w:t>
      </w:r>
      <w:r w:rsidR="007677B6">
        <w:rPr>
          <w:rFonts w:ascii="Bookman Old Style" w:hAnsi="Bookman Old Style" w:cs="Arial"/>
          <w:sz w:val="28"/>
          <w:szCs w:val="28"/>
          <w:lang w:val="el-GR"/>
        </w:rPr>
        <w:t xml:space="preserve"> Η εισήγηση των Εφεσειόντων ήταν ότι υπάρχει άμεση σύνδεση της εφεσιβληθείσας Απόφασης ημερ. 30/3/2022 και της ερήμην απόφασης ημερ. 21/9/2022. Όπως υποστηρίχθηκε, η μη αναστολή της ερήμην απόφασης εκκρεμούσης της Έφεσης Ε83/2022 επί της απορριπτικής του παραμερισμού ενδιάμεσης απόφασης ημερ. 30/3/2022, η οποία, όπως υπογραμμίστηκε, ήτο αλληλένδετη με την ερήμην απόφαση, θα είχε ως αναπόφευκτο αποτέλεσμα την εκτέλεση της ερήμην απόφασης. </w:t>
      </w:r>
      <w:r w:rsidR="00BE166E">
        <w:rPr>
          <w:rFonts w:ascii="Bookman Old Style" w:hAnsi="Bookman Old Style" w:cs="Arial"/>
          <w:sz w:val="28"/>
          <w:szCs w:val="28"/>
          <w:lang w:val="el-GR"/>
        </w:rPr>
        <w:t>Τονίστηκε</w:t>
      </w:r>
      <w:r w:rsidR="00F44C30">
        <w:rPr>
          <w:rFonts w:ascii="Bookman Old Style" w:hAnsi="Bookman Old Style" w:cs="Arial"/>
          <w:sz w:val="28"/>
          <w:szCs w:val="28"/>
          <w:lang w:val="el-GR"/>
        </w:rPr>
        <w:t>,</w:t>
      </w:r>
      <w:r w:rsidR="00BE166E">
        <w:rPr>
          <w:rFonts w:ascii="Bookman Old Style" w:hAnsi="Bookman Old Style" w:cs="Arial"/>
          <w:sz w:val="28"/>
          <w:szCs w:val="28"/>
          <w:lang w:val="el-GR"/>
        </w:rPr>
        <w:t xml:space="preserve"> ακόμη</w:t>
      </w:r>
      <w:r w:rsidR="00F44C30">
        <w:rPr>
          <w:rFonts w:ascii="Bookman Old Style" w:hAnsi="Bookman Old Style" w:cs="Arial"/>
          <w:sz w:val="28"/>
          <w:szCs w:val="28"/>
          <w:lang w:val="el-GR"/>
        </w:rPr>
        <w:t>,</w:t>
      </w:r>
      <w:r w:rsidR="00BE166E">
        <w:rPr>
          <w:rFonts w:ascii="Bookman Old Style" w:hAnsi="Bookman Old Style" w:cs="Arial"/>
          <w:sz w:val="28"/>
          <w:szCs w:val="28"/>
          <w:lang w:val="el-GR"/>
        </w:rPr>
        <w:t xml:space="preserve"> ότι η μη έκδοση του μονομερούς </w:t>
      </w:r>
      <w:r w:rsidR="004A26A8">
        <w:rPr>
          <w:rFonts w:ascii="Bookman Old Style" w:hAnsi="Bookman Old Style" w:cs="Arial"/>
          <w:sz w:val="28"/>
          <w:szCs w:val="28"/>
          <w:lang w:val="el-GR"/>
        </w:rPr>
        <w:t>Δ</w:t>
      </w:r>
      <w:r w:rsidR="00BE166E">
        <w:rPr>
          <w:rFonts w:ascii="Bookman Old Style" w:hAnsi="Bookman Old Style" w:cs="Arial"/>
          <w:sz w:val="28"/>
          <w:szCs w:val="28"/>
          <w:lang w:val="el-GR"/>
        </w:rPr>
        <w:t>ιατάγματος ημερ. 23/5/2022 θα συνεπαγόταν αυτόματα την εξανέμιση αφενός του αναφαίρετου συνταγματικά ιδιοκτησιακού δικαιώματος των Εφεσειόντων, αφετέρου του αναφαίρετου δικαιώματος τ</w:t>
      </w:r>
      <w:r w:rsidR="00F44C30">
        <w:rPr>
          <w:rFonts w:ascii="Bookman Old Style" w:hAnsi="Bookman Old Style" w:cs="Arial"/>
          <w:sz w:val="28"/>
          <w:szCs w:val="28"/>
          <w:lang w:val="el-GR"/>
        </w:rPr>
        <w:t>ου</w:t>
      </w:r>
      <w:r w:rsidR="00BE166E">
        <w:rPr>
          <w:rFonts w:ascii="Bookman Old Style" w:hAnsi="Bookman Old Style" w:cs="Arial"/>
          <w:sz w:val="28"/>
          <w:szCs w:val="28"/>
          <w:lang w:val="el-GR"/>
        </w:rPr>
        <w:t>ς ως προς την ανάγκη εξασφάλισης της αποτελεσματικότητας του ένδικου μέσου της εφέσεως.</w:t>
      </w:r>
      <w:r w:rsidR="004A26A8">
        <w:rPr>
          <w:rFonts w:ascii="Bookman Old Style" w:hAnsi="Bookman Old Style" w:cs="Arial"/>
          <w:sz w:val="28"/>
          <w:szCs w:val="28"/>
          <w:lang w:val="el-GR"/>
        </w:rPr>
        <w:t xml:space="preserve"> </w:t>
      </w:r>
    </w:p>
    <w:p w14:paraId="07DF1578" w14:textId="77777777" w:rsidR="00AD172D" w:rsidRDefault="00AD172D" w:rsidP="00963265">
      <w:pPr>
        <w:spacing w:line="480" w:lineRule="auto"/>
        <w:ind w:right="-35"/>
        <w:jc w:val="both"/>
        <w:rPr>
          <w:rFonts w:ascii="Bookman Old Style" w:hAnsi="Bookman Old Style" w:cs="Arial"/>
          <w:sz w:val="28"/>
          <w:szCs w:val="28"/>
          <w:lang w:val="el-GR"/>
        </w:rPr>
      </w:pPr>
    </w:p>
    <w:p w14:paraId="2BF848BC" w14:textId="279C36D7" w:rsidR="00AD172D" w:rsidRPr="008468D1" w:rsidRDefault="00AD172D" w:rsidP="00AD172D">
      <w:pPr>
        <w:pStyle w:val="apapaoi"/>
        <w:spacing w:line="480" w:lineRule="auto"/>
        <w:ind w:firstLine="0"/>
        <w:rPr>
          <w:rFonts w:ascii="Bookman Old Style" w:hAnsi="Bookman Old Style"/>
          <w:spacing w:val="-3"/>
          <w:sz w:val="28"/>
          <w:szCs w:val="28"/>
        </w:rPr>
      </w:pPr>
      <w:r w:rsidRPr="00AD172D">
        <w:rPr>
          <w:rFonts w:ascii="Bookman Old Style" w:hAnsi="Bookman Old Style" w:cs="Arial"/>
          <w:sz w:val="28"/>
          <w:szCs w:val="28"/>
        </w:rPr>
        <w:t xml:space="preserve">Όπως ορθά επεσήμανε το πρωτόδικο Δικαστήριο, οι πρόνοιες της </w:t>
      </w:r>
      <w:r w:rsidRPr="00AD172D">
        <w:rPr>
          <w:rFonts w:ascii="Bookman Old Style" w:hAnsi="Bookman Old Style" w:cs="Arial"/>
          <w:b/>
          <w:bCs/>
          <w:i/>
          <w:iCs/>
          <w:sz w:val="28"/>
          <w:szCs w:val="28"/>
        </w:rPr>
        <w:t xml:space="preserve">Δ. 35, θ. 18 </w:t>
      </w:r>
      <w:r w:rsidRPr="00AD172D">
        <w:rPr>
          <w:rFonts w:ascii="Bookman Old Style" w:hAnsi="Bookman Old Style" w:cs="Arial"/>
          <w:sz w:val="28"/>
          <w:szCs w:val="28"/>
        </w:rPr>
        <w:t>είναι σαφείς</w:t>
      </w:r>
      <w:r w:rsidR="0023071A">
        <w:rPr>
          <w:rFonts w:ascii="Bookman Old Style" w:hAnsi="Bookman Old Style" w:cs="Arial"/>
          <w:sz w:val="28"/>
          <w:szCs w:val="28"/>
        </w:rPr>
        <w:t>,</w:t>
      </w:r>
      <w:r w:rsidRPr="00AD172D">
        <w:rPr>
          <w:rFonts w:ascii="Bookman Old Style" w:hAnsi="Bookman Old Style" w:cs="Arial"/>
          <w:sz w:val="28"/>
          <w:szCs w:val="28"/>
        </w:rPr>
        <w:t xml:space="preserve"> έτσι ώστε να μην παρουσιάζεται οποιαδήποτε δυσκολία στην ερμηνεία της. </w:t>
      </w:r>
      <w:r w:rsidRPr="00AD172D">
        <w:rPr>
          <w:rFonts w:ascii="Bookman Old Style" w:hAnsi="Bookman Old Style"/>
          <w:spacing w:val="-3"/>
          <w:sz w:val="28"/>
          <w:szCs w:val="28"/>
        </w:rPr>
        <w:t>Η</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νομολογία</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αναφορικά</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με</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τη</w:t>
      </w:r>
      <w:r w:rsidRPr="00AD172D">
        <w:rPr>
          <w:rFonts w:ascii="Bookman Old Style" w:hAnsi="Bookman Old Style"/>
          <w:spacing w:val="-3"/>
          <w:sz w:val="28"/>
          <w:szCs w:val="28"/>
        </w:rPr>
        <w:t xml:space="preserve"> </w:t>
      </w:r>
      <w:r w:rsidRPr="00AD172D">
        <w:rPr>
          <w:rFonts w:ascii="Bookman Old Style" w:hAnsi="Bookman Old Style"/>
          <w:b/>
          <w:bCs/>
          <w:i/>
          <w:iCs/>
          <w:spacing w:val="-3"/>
          <w:sz w:val="28"/>
          <w:szCs w:val="28"/>
        </w:rPr>
        <w:t>Δ.</w:t>
      </w:r>
      <w:r w:rsidR="008B2B37">
        <w:rPr>
          <w:rFonts w:ascii="Bookman Old Style" w:hAnsi="Bookman Old Style"/>
          <w:b/>
          <w:bCs/>
          <w:i/>
          <w:iCs/>
          <w:spacing w:val="-3"/>
          <w:sz w:val="28"/>
          <w:szCs w:val="28"/>
        </w:rPr>
        <w:t xml:space="preserve"> </w:t>
      </w:r>
      <w:r w:rsidRPr="00AD172D">
        <w:rPr>
          <w:rFonts w:ascii="Bookman Old Style" w:hAnsi="Bookman Old Style"/>
          <w:b/>
          <w:bCs/>
          <w:i/>
          <w:iCs/>
          <w:spacing w:val="-3"/>
          <w:sz w:val="28"/>
          <w:szCs w:val="28"/>
        </w:rPr>
        <w:t>35</w:t>
      </w:r>
      <w:r w:rsidR="007F52BF" w:rsidRPr="00A54E7A">
        <w:rPr>
          <w:rFonts w:ascii="Bookman Old Style" w:hAnsi="Bookman Old Style"/>
          <w:spacing w:val="-3"/>
          <w:sz w:val="28"/>
          <w:szCs w:val="28"/>
        </w:rPr>
        <w:t>,</w:t>
      </w:r>
      <w:r w:rsidRPr="00AD172D">
        <w:rPr>
          <w:rFonts w:ascii="Bookman Old Style" w:hAnsi="Bookman Old Style"/>
          <w:b/>
          <w:bCs/>
          <w:i/>
          <w:iCs/>
          <w:spacing w:val="-3"/>
          <w:sz w:val="28"/>
          <w:szCs w:val="28"/>
        </w:rPr>
        <w:t xml:space="preserve"> θ.</w:t>
      </w:r>
      <w:r w:rsidR="008B2B37">
        <w:rPr>
          <w:rFonts w:ascii="Bookman Old Style" w:hAnsi="Bookman Old Style"/>
          <w:b/>
          <w:bCs/>
          <w:i/>
          <w:iCs/>
          <w:spacing w:val="-3"/>
          <w:sz w:val="28"/>
          <w:szCs w:val="28"/>
        </w:rPr>
        <w:t xml:space="preserve"> </w:t>
      </w:r>
      <w:r w:rsidRPr="00AD172D">
        <w:rPr>
          <w:rFonts w:ascii="Bookman Old Style" w:hAnsi="Bookman Old Style"/>
          <w:b/>
          <w:bCs/>
          <w:i/>
          <w:iCs/>
          <w:spacing w:val="-3"/>
          <w:sz w:val="28"/>
          <w:szCs w:val="28"/>
        </w:rPr>
        <w:t>18</w:t>
      </w:r>
      <w:r w:rsidRPr="00AD172D">
        <w:rPr>
          <w:rFonts w:ascii="Bookman Old Style" w:hAnsi="Bookman Old Style"/>
          <w:spacing w:val="-3"/>
          <w:sz w:val="28"/>
          <w:szCs w:val="28"/>
        </w:rPr>
        <w:t xml:space="preserve"> </w:t>
      </w:r>
      <w:r w:rsidR="006E65A3">
        <w:rPr>
          <w:rFonts w:ascii="Bookman Old Style" w:hAnsi="Bookman Old Style"/>
          <w:spacing w:val="-3"/>
          <w:sz w:val="28"/>
          <w:szCs w:val="28"/>
        </w:rPr>
        <w:t>απλώς</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επανέλαβε</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αυτό</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που</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σαφέστατα</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προκύπτει</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από</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τις</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ίδιες</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τις</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πρόνοιες</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της</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εν</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λόγω</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Διάταξης</w:t>
      </w:r>
      <w:r w:rsidR="006E65A3" w:rsidRPr="00A54E7A">
        <w:rPr>
          <w:rFonts w:ascii="Bookman Old Style" w:hAnsi="Bookman Old Style"/>
          <w:spacing w:val="-3"/>
          <w:sz w:val="28"/>
          <w:szCs w:val="28"/>
        </w:rPr>
        <w:t xml:space="preserve">  (</w:t>
      </w:r>
      <w:r w:rsidR="006E65A3" w:rsidRPr="006E65A3">
        <w:rPr>
          <w:rFonts w:ascii="Bookman Old Style" w:hAnsi="Bookman Old Style"/>
          <w:i/>
          <w:iCs/>
          <w:sz w:val="28"/>
          <w:szCs w:val="28"/>
          <w:lang w:val="en-US"/>
        </w:rPr>
        <w:t>An</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appeal</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shall</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not</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operate</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as</w:t>
      </w:r>
      <w:r w:rsidR="006E65A3" w:rsidRPr="00A54E7A">
        <w:rPr>
          <w:rFonts w:ascii="Bookman Old Style" w:hAnsi="Bookman Old Style"/>
          <w:i/>
          <w:iCs/>
          <w:sz w:val="28"/>
          <w:szCs w:val="28"/>
        </w:rPr>
        <w:t xml:space="preserve"> </w:t>
      </w:r>
      <w:r w:rsidR="006E65A3" w:rsidRPr="006E65A3">
        <w:rPr>
          <w:rFonts w:ascii="Bookman Old Style" w:hAnsi="Bookman Old Style"/>
          <w:b/>
          <w:bCs/>
          <w:i/>
          <w:iCs/>
          <w:sz w:val="28"/>
          <w:szCs w:val="28"/>
          <w:lang w:val="en-US"/>
        </w:rPr>
        <w:t>a</w:t>
      </w:r>
      <w:r w:rsidR="006E65A3" w:rsidRPr="00A54E7A">
        <w:rPr>
          <w:rFonts w:ascii="Bookman Old Style" w:hAnsi="Bookman Old Style"/>
          <w:b/>
          <w:bCs/>
          <w:i/>
          <w:iCs/>
          <w:sz w:val="28"/>
          <w:szCs w:val="28"/>
        </w:rPr>
        <w:t xml:space="preserve"> </w:t>
      </w:r>
      <w:r w:rsidR="006E65A3" w:rsidRPr="006E65A3">
        <w:rPr>
          <w:rFonts w:ascii="Bookman Old Style" w:hAnsi="Bookman Old Style"/>
          <w:b/>
          <w:bCs/>
          <w:i/>
          <w:iCs/>
          <w:sz w:val="28"/>
          <w:szCs w:val="28"/>
          <w:lang w:val="en-US"/>
        </w:rPr>
        <w:t>stay</w:t>
      </w:r>
      <w:r w:rsidR="006E65A3" w:rsidRPr="00A54E7A">
        <w:rPr>
          <w:rFonts w:ascii="Bookman Old Style" w:hAnsi="Bookman Old Style"/>
          <w:b/>
          <w:bCs/>
          <w:i/>
          <w:iCs/>
          <w:sz w:val="28"/>
          <w:szCs w:val="28"/>
        </w:rPr>
        <w:t xml:space="preserve"> </w:t>
      </w:r>
      <w:r w:rsidR="006E65A3" w:rsidRPr="006E65A3">
        <w:rPr>
          <w:rFonts w:ascii="Bookman Old Style" w:hAnsi="Bookman Old Style"/>
          <w:b/>
          <w:bCs/>
          <w:i/>
          <w:iCs/>
          <w:sz w:val="28"/>
          <w:szCs w:val="28"/>
          <w:lang w:val="en-US"/>
        </w:rPr>
        <w:t>of</w:t>
      </w:r>
      <w:r w:rsidR="006E65A3" w:rsidRPr="00A54E7A">
        <w:rPr>
          <w:rFonts w:ascii="Bookman Old Style" w:hAnsi="Bookman Old Style"/>
          <w:b/>
          <w:bCs/>
          <w:i/>
          <w:iCs/>
          <w:sz w:val="28"/>
          <w:szCs w:val="28"/>
        </w:rPr>
        <w:t xml:space="preserve"> </w:t>
      </w:r>
      <w:r w:rsidR="006E65A3" w:rsidRPr="006E65A3">
        <w:rPr>
          <w:rFonts w:ascii="Bookman Old Style" w:hAnsi="Bookman Old Style"/>
          <w:b/>
          <w:bCs/>
          <w:i/>
          <w:iCs/>
          <w:sz w:val="28"/>
          <w:szCs w:val="28"/>
          <w:lang w:val="en-US"/>
        </w:rPr>
        <w:t>execution</w:t>
      </w:r>
      <w:r w:rsidR="006E65A3" w:rsidRPr="00A54E7A">
        <w:rPr>
          <w:rFonts w:ascii="Bookman Old Style" w:hAnsi="Bookman Old Style"/>
          <w:b/>
          <w:bCs/>
          <w:i/>
          <w:iCs/>
          <w:sz w:val="28"/>
          <w:szCs w:val="28"/>
        </w:rPr>
        <w:t xml:space="preserve"> </w:t>
      </w:r>
      <w:r w:rsidR="006E65A3" w:rsidRPr="006E65A3">
        <w:rPr>
          <w:rFonts w:ascii="Bookman Old Style" w:hAnsi="Bookman Old Style"/>
          <w:b/>
          <w:bCs/>
          <w:i/>
          <w:iCs/>
          <w:sz w:val="28"/>
          <w:szCs w:val="28"/>
          <w:lang w:val="en-US"/>
        </w:rPr>
        <w:t>or</w:t>
      </w:r>
      <w:r w:rsidR="006E65A3" w:rsidRPr="00A54E7A">
        <w:rPr>
          <w:rFonts w:ascii="Bookman Old Style" w:hAnsi="Bookman Old Style"/>
          <w:b/>
          <w:bCs/>
          <w:i/>
          <w:iCs/>
          <w:sz w:val="28"/>
          <w:szCs w:val="28"/>
        </w:rPr>
        <w:t xml:space="preserve"> </w:t>
      </w:r>
      <w:r w:rsidR="006E65A3" w:rsidRPr="006E65A3">
        <w:rPr>
          <w:rFonts w:ascii="Bookman Old Style" w:hAnsi="Bookman Old Style"/>
          <w:b/>
          <w:bCs/>
          <w:i/>
          <w:iCs/>
          <w:sz w:val="28"/>
          <w:szCs w:val="28"/>
          <w:lang w:val="en-US"/>
        </w:rPr>
        <w:t>of</w:t>
      </w:r>
      <w:r w:rsidR="006E65A3" w:rsidRPr="00A54E7A">
        <w:rPr>
          <w:rFonts w:ascii="Bookman Old Style" w:hAnsi="Bookman Old Style"/>
          <w:b/>
          <w:bCs/>
          <w:i/>
          <w:iCs/>
          <w:sz w:val="28"/>
          <w:szCs w:val="28"/>
        </w:rPr>
        <w:t xml:space="preserve"> </w:t>
      </w:r>
      <w:r w:rsidR="006E65A3" w:rsidRPr="006E65A3">
        <w:rPr>
          <w:rFonts w:ascii="Bookman Old Style" w:hAnsi="Bookman Old Style"/>
          <w:b/>
          <w:bCs/>
          <w:i/>
          <w:iCs/>
          <w:sz w:val="28"/>
          <w:szCs w:val="28"/>
          <w:lang w:val="en-US"/>
        </w:rPr>
        <w:t>proceedings</w:t>
      </w:r>
      <w:r w:rsidR="006E65A3" w:rsidRPr="00A54E7A">
        <w:rPr>
          <w:rFonts w:ascii="Bookman Old Style" w:hAnsi="Bookman Old Style"/>
          <w:b/>
          <w:bCs/>
          <w:i/>
          <w:iCs/>
          <w:sz w:val="28"/>
          <w:szCs w:val="28"/>
        </w:rPr>
        <w:t xml:space="preserve"> </w:t>
      </w:r>
      <w:r w:rsidR="006E65A3" w:rsidRPr="006E65A3">
        <w:rPr>
          <w:rFonts w:ascii="Bookman Old Style" w:hAnsi="Bookman Old Style"/>
          <w:b/>
          <w:bCs/>
          <w:i/>
          <w:iCs/>
          <w:sz w:val="28"/>
          <w:szCs w:val="28"/>
          <w:lang w:val="en-US"/>
        </w:rPr>
        <w:t>under</w:t>
      </w:r>
      <w:r w:rsidR="006E65A3" w:rsidRPr="00A54E7A">
        <w:rPr>
          <w:rFonts w:ascii="Bookman Old Style" w:hAnsi="Bookman Old Style"/>
          <w:b/>
          <w:bCs/>
          <w:i/>
          <w:iCs/>
          <w:sz w:val="28"/>
          <w:szCs w:val="28"/>
        </w:rPr>
        <w:t xml:space="preserve"> </w:t>
      </w:r>
      <w:r w:rsidR="006E65A3" w:rsidRPr="006E65A3">
        <w:rPr>
          <w:rFonts w:ascii="Bookman Old Style" w:hAnsi="Bookman Old Style"/>
          <w:b/>
          <w:bCs/>
          <w:i/>
          <w:iCs/>
          <w:sz w:val="28"/>
          <w:szCs w:val="28"/>
          <w:lang w:val="en-US"/>
        </w:rPr>
        <w:t>the</w:t>
      </w:r>
      <w:r w:rsidR="006E65A3" w:rsidRPr="00A54E7A">
        <w:rPr>
          <w:rFonts w:ascii="Bookman Old Style" w:hAnsi="Bookman Old Style"/>
          <w:b/>
          <w:bCs/>
          <w:i/>
          <w:iCs/>
          <w:sz w:val="28"/>
          <w:szCs w:val="28"/>
        </w:rPr>
        <w:t xml:space="preserve"> </w:t>
      </w:r>
      <w:r w:rsidR="006E65A3" w:rsidRPr="006E65A3">
        <w:rPr>
          <w:rFonts w:ascii="Bookman Old Style" w:hAnsi="Bookman Old Style"/>
          <w:b/>
          <w:bCs/>
          <w:i/>
          <w:iCs/>
          <w:sz w:val="28"/>
          <w:szCs w:val="28"/>
          <w:lang w:val="en-US"/>
        </w:rPr>
        <w:t>decision</w:t>
      </w:r>
      <w:r w:rsidR="006E65A3" w:rsidRPr="00A54E7A">
        <w:rPr>
          <w:rFonts w:ascii="Bookman Old Style" w:hAnsi="Bookman Old Style"/>
          <w:b/>
          <w:bCs/>
          <w:i/>
          <w:iCs/>
          <w:sz w:val="28"/>
          <w:szCs w:val="28"/>
        </w:rPr>
        <w:t xml:space="preserve"> </w:t>
      </w:r>
      <w:r w:rsidR="006E65A3" w:rsidRPr="006E65A3">
        <w:rPr>
          <w:rFonts w:ascii="Bookman Old Style" w:hAnsi="Bookman Old Style"/>
          <w:b/>
          <w:bCs/>
          <w:i/>
          <w:iCs/>
          <w:sz w:val="28"/>
          <w:szCs w:val="28"/>
          <w:lang w:val="en-US"/>
        </w:rPr>
        <w:t>appealed</w:t>
      </w:r>
      <w:r w:rsidR="006E65A3" w:rsidRPr="00A54E7A">
        <w:rPr>
          <w:rFonts w:ascii="Bookman Old Style" w:hAnsi="Bookman Old Style"/>
          <w:i/>
          <w:iCs/>
          <w:sz w:val="28"/>
          <w:szCs w:val="28"/>
        </w:rPr>
        <w:t xml:space="preserve"> </w:t>
      </w:r>
      <w:r w:rsidR="006E65A3" w:rsidRPr="0023071A">
        <w:rPr>
          <w:rFonts w:ascii="Bookman Old Style" w:hAnsi="Bookman Old Style"/>
          <w:b/>
          <w:bCs/>
          <w:i/>
          <w:iCs/>
          <w:sz w:val="28"/>
          <w:szCs w:val="28"/>
          <w:lang w:val="en-US"/>
        </w:rPr>
        <w:t>from</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except</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so</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far</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as</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the</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Court</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appealed</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from</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or</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the</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Court</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of</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Appeal</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or</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a</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Judge</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of</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either</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Court</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may</w:t>
      </w:r>
      <w:r w:rsidR="006E65A3" w:rsidRPr="00A54E7A">
        <w:rPr>
          <w:rFonts w:ascii="Bookman Old Style" w:hAnsi="Bookman Old Style"/>
          <w:i/>
          <w:iCs/>
          <w:sz w:val="28"/>
          <w:szCs w:val="28"/>
        </w:rPr>
        <w:t xml:space="preserve"> </w:t>
      </w:r>
      <w:r w:rsidR="006E65A3" w:rsidRPr="006E65A3">
        <w:rPr>
          <w:rFonts w:ascii="Bookman Old Style" w:hAnsi="Bookman Old Style"/>
          <w:i/>
          <w:iCs/>
          <w:sz w:val="28"/>
          <w:szCs w:val="28"/>
          <w:lang w:val="en-US"/>
        </w:rPr>
        <w:t>order</w:t>
      </w:r>
      <w:r w:rsidR="006E65A3" w:rsidRPr="00A54E7A">
        <w:rPr>
          <w:rFonts w:ascii="Bookman Old Style" w:hAnsi="Bookman Old Style"/>
          <w:i/>
          <w:iCs/>
          <w:sz w:val="28"/>
          <w:szCs w:val="28"/>
        </w:rPr>
        <w:t>;</w:t>
      </w:r>
      <w:r w:rsidR="006E65A3" w:rsidRPr="00A54E7A">
        <w:rPr>
          <w:rFonts w:ascii="Bookman Old Style" w:hAnsi="Bookman Old Style"/>
          <w:sz w:val="28"/>
          <w:szCs w:val="28"/>
        </w:rPr>
        <w:t xml:space="preserve">) </w:t>
      </w:r>
      <w:r w:rsidR="006E65A3" w:rsidRPr="006E65A3">
        <w:rPr>
          <w:rFonts w:ascii="Bookman Old Style" w:hAnsi="Bookman Old Style"/>
          <w:spacing w:val="-3"/>
          <w:sz w:val="28"/>
          <w:szCs w:val="28"/>
        </w:rPr>
        <w:t>ό</w:t>
      </w:r>
      <w:r w:rsidR="006E65A3">
        <w:rPr>
          <w:rFonts w:ascii="Bookman Old Style" w:hAnsi="Bookman Old Style"/>
          <w:spacing w:val="-3"/>
          <w:sz w:val="28"/>
          <w:szCs w:val="28"/>
        </w:rPr>
        <w:t>τι</w:t>
      </w:r>
      <w:r w:rsidR="006E65A3" w:rsidRPr="00A54E7A">
        <w:rPr>
          <w:rFonts w:ascii="Bookman Old Style" w:hAnsi="Bookman Old Style"/>
          <w:spacing w:val="-3"/>
          <w:sz w:val="28"/>
          <w:szCs w:val="28"/>
        </w:rPr>
        <w:t xml:space="preserve">, </w:t>
      </w:r>
      <w:r w:rsidR="006E65A3">
        <w:rPr>
          <w:rFonts w:ascii="Bookman Old Style" w:hAnsi="Bookman Old Style"/>
          <w:spacing w:val="-3"/>
          <w:sz w:val="28"/>
          <w:szCs w:val="28"/>
        </w:rPr>
        <w:t>δηλαδή</w:t>
      </w:r>
      <w:r w:rsidRPr="00AD172D">
        <w:rPr>
          <w:rFonts w:ascii="Bookman Old Style" w:hAnsi="Bookman Old Style"/>
          <w:spacing w:val="-3"/>
          <w:sz w:val="28"/>
          <w:szCs w:val="28"/>
        </w:rPr>
        <w:t>, περιορίζεται σε αποφάσεις οι οποίες τελούν υπό έφεση.</w:t>
      </w:r>
      <w:r w:rsidR="008468D1" w:rsidRPr="00A54E7A">
        <w:rPr>
          <w:rFonts w:ascii="Bookman Old Style" w:hAnsi="Bookman Old Style"/>
          <w:spacing w:val="-3"/>
          <w:sz w:val="28"/>
          <w:szCs w:val="28"/>
        </w:rPr>
        <w:t xml:space="preserve"> </w:t>
      </w:r>
      <w:r w:rsidRPr="00AD172D">
        <w:rPr>
          <w:rFonts w:ascii="Bookman Old Style" w:hAnsi="Bookman Old Style"/>
          <w:spacing w:val="-3"/>
          <w:sz w:val="28"/>
          <w:szCs w:val="28"/>
        </w:rPr>
        <w:t xml:space="preserve">Σχετικό είναι το πιο κάτω απόσπασμα από την υπόθεση </w:t>
      </w:r>
      <w:r w:rsidRPr="00AD172D">
        <w:rPr>
          <w:rFonts w:ascii="Bookman Old Style" w:hAnsi="Bookman Old Style"/>
          <w:b/>
          <w:bCs/>
          <w:i/>
          <w:iCs/>
          <w:spacing w:val="-3"/>
          <w:sz w:val="28"/>
          <w:szCs w:val="28"/>
        </w:rPr>
        <w:t>Εμπεδοκλής κ.ά. (Αρ.3) (2009) 1 Α.Α.Δ. 529</w:t>
      </w:r>
      <w:r w:rsidRPr="00AD172D">
        <w:rPr>
          <w:rFonts w:ascii="Bookman Old Style" w:hAnsi="Bookman Old Style"/>
          <w:spacing w:val="-3"/>
          <w:sz w:val="28"/>
          <w:szCs w:val="28"/>
        </w:rPr>
        <w:t>: </w:t>
      </w:r>
    </w:p>
    <w:p w14:paraId="13117BA9" w14:textId="273C7C24" w:rsidR="00AD172D" w:rsidRPr="00A54E7A" w:rsidRDefault="00AD172D" w:rsidP="00AD172D">
      <w:pPr>
        <w:spacing w:before="100" w:beforeAutospacing="1" w:after="100" w:afterAutospacing="1" w:line="276" w:lineRule="auto"/>
        <w:ind w:left="426" w:right="390"/>
        <w:jc w:val="both"/>
        <w:rPr>
          <w:rFonts w:ascii="Bookman Old Style" w:hAnsi="Bookman Old Style"/>
          <w:sz w:val="28"/>
          <w:szCs w:val="28"/>
          <w:lang w:val="el-GR"/>
        </w:rPr>
      </w:pPr>
      <w:r w:rsidRPr="00A54E7A">
        <w:rPr>
          <w:rFonts w:ascii="Bookman Old Style" w:hAnsi="Bookman Old Style"/>
          <w:spacing w:val="-3"/>
          <w:sz w:val="28"/>
          <w:szCs w:val="28"/>
          <w:lang w:val="el-GR"/>
        </w:rPr>
        <w:t>«</w:t>
      </w:r>
      <w:r w:rsidRPr="00A54E7A">
        <w:rPr>
          <w:rFonts w:ascii="Bookman Old Style" w:hAnsi="Bookman Old Style"/>
          <w:i/>
          <w:iCs/>
          <w:spacing w:val="-3"/>
          <w:sz w:val="28"/>
          <w:szCs w:val="28"/>
          <w:lang w:val="el-GR"/>
        </w:rPr>
        <w:t xml:space="preserve">Όπως κρίθηκε σε μεταγενέστερες αποφάσεις, ο λόγος της υπόθεσης </w:t>
      </w:r>
      <w:r w:rsidRPr="006E65A3">
        <w:rPr>
          <w:rFonts w:ascii="Bookman Old Style" w:hAnsi="Bookman Old Style"/>
          <w:b/>
          <w:bCs/>
          <w:i/>
          <w:iCs/>
          <w:spacing w:val="-3"/>
          <w:sz w:val="28"/>
          <w:szCs w:val="28"/>
          <w:lang w:val="en-US"/>
        </w:rPr>
        <w:t>Christofi</w:t>
      </w:r>
      <w:r w:rsidRPr="006E65A3">
        <w:rPr>
          <w:rFonts w:ascii="Bookman Old Style" w:hAnsi="Bookman Old Style"/>
          <w:b/>
          <w:bCs/>
          <w:i/>
          <w:iCs/>
          <w:spacing w:val="-3"/>
          <w:sz w:val="28"/>
          <w:szCs w:val="28"/>
          <w:lang w:val="el-GR"/>
        </w:rPr>
        <w:t xml:space="preserve"> </w:t>
      </w:r>
      <w:r w:rsidRPr="006E65A3">
        <w:rPr>
          <w:rFonts w:ascii="Bookman Old Style" w:hAnsi="Bookman Old Style"/>
          <w:b/>
          <w:bCs/>
          <w:i/>
          <w:iCs/>
          <w:spacing w:val="-3"/>
          <w:sz w:val="28"/>
          <w:szCs w:val="28"/>
          <w:lang w:val="en-US"/>
        </w:rPr>
        <w:t>v</w:t>
      </w:r>
      <w:r w:rsidRPr="00A54E7A">
        <w:rPr>
          <w:rFonts w:ascii="Bookman Old Style" w:hAnsi="Bookman Old Style"/>
          <w:b/>
          <w:bCs/>
          <w:i/>
          <w:iCs/>
          <w:spacing w:val="-3"/>
          <w:sz w:val="28"/>
          <w:szCs w:val="28"/>
          <w:lang w:val="el-GR"/>
        </w:rPr>
        <w:t xml:space="preserve">. </w:t>
      </w:r>
      <w:r w:rsidRPr="006E65A3">
        <w:rPr>
          <w:rFonts w:ascii="Bookman Old Style" w:hAnsi="Bookman Old Style"/>
          <w:b/>
          <w:bCs/>
          <w:i/>
          <w:iCs/>
          <w:spacing w:val="-3"/>
          <w:sz w:val="28"/>
          <w:szCs w:val="28"/>
          <w:lang w:val="en-US"/>
        </w:rPr>
        <w:t>Iacovou</w:t>
      </w:r>
      <w:r w:rsidRPr="00A54E7A">
        <w:rPr>
          <w:rFonts w:ascii="Bookman Old Style" w:hAnsi="Bookman Old Style"/>
          <w:b/>
          <w:bCs/>
          <w:i/>
          <w:iCs/>
          <w:spacing w:val="-3"/>
          <w:sz w:val="28"/>
          <w:szCs w:val="28"/>
          <w:lang w:val="el-GR"/>
        </w:rPr>
        <w:t xml:space="preserve"> (1985) 1 </w:t>
      </w:r>
      <w:r w:rsidRPr="006E65A3">
        <w:rPr>
          <w:rFonts w:ascii="Bookman Old Style" w:hAnsi="Bookman Old Style"/>
          <w:b/>
          <w:bCs/>
          <w:i/>
          <w:iCs/>
          <w:spacing w:val="-3"/>
          <w:sz w:val="28"/>
          <w:szCs w:val="28"/>
          <w:lang w:val="en-US"/>
        </w:rPr>
        <w:t>C</w:t>
      </w:r>
      <w:r w:rsidRPr="00A54E7A">
        <w:rPr>
          <w:rFonts w:ascii="Bookman Old Style" w:hAnsi="Bookman Old Style"/>
          <w:b/>
          <w:bCs/>
          <w:i/>
          <w:iCs/>
          <w:spacing w:val="-3"/>
          <w:sz w:val="28"/>
          <w:szCs w:val="28"/>
          <w:lang w:val="el-GR"/>
        </w:rPr>
        <w:t>.</w:t>
      </w:r>
      <w:r w:rsidRPr="006E65A3">
        <w:rPr>
          <w:rFonts w:ascii="Bookman Old Style" w:hAnsi="Bookman Old Style"/>
          <w:b/>
          <w:bCs/>
          <w:i/>
          <w:iCs/>
          <w:spacing w:val="-3"/>
          <w:sz w:val="28"/>
          <w:szCs w:val="28"/>
          <w:lang w:val="en-US"/>
        </w:rPr>
        <w:t>L</w:t>
      </w:r>
      <w:r w:rsidRPr="00A54E7A">
        <w:rPr>
          <w:rFonts w:ascii="Bookman Old Style" w:hAnsi="Bookman Old Style"/>
          <w:b/>
          <w:bCs/>
          <w:i/>
          <w:iCs/>
          <w:spacing w:val="-3"/>
          <w:sz w:val="28"/>
          <w:szCs w:val="28"/>
          <w:lang w:val="el-GR"/>
        </w:rPr>
        <w:t>.</w:t>
      </w:r>
      <w:r w:rsidRPr="006E65A3">
        <w:rPr>
          <w:rFonts w:ascii="Bookman Old Style" w:hAnsi="Bookman Old Style"/>
          <w:b/>
          <w:bCs/>
          <w:i/>
          <w:iCs/>
          <w:spacing w:val="-3"/>
          <w:sz w:val="28"/>
          <w:szCs w:val="28"/>
          <w:lang w:val="en-US"/>
        </w:rPr>
        <w:t>R</w:t>
      </w:r>
      <w:r w:rsidRPr="00A54E7A">
        <w:rPr>
          <w:rFonts w:ascii="Bookman Old Style" w:hAnsi="Bookman Old Style"/>
          <w:b/>
          <w:bCs/>
          <w:i/>
          <w:iCs/>
          <w:spacing w:val="-3"/>
          <w:sz w:val="28"/>
          <w:szCs w:val="28"/>
          <w:lang w:val="el-GR"/>
        </w:rPr>
        <w:t>. 713</w:t>
      </w:r>
      <w:r w:rsidRPr="00A54E7A">
        <w:rPr>
          <w:rFonts w:ascii="Bookman Old Style" w:hAnsi="Bookman Old Style"/>
          <w:i/>
          <w:iCs/>
          <w:spacing w:val="-3"/>
          <w:sz w:val="28"/>
          <w:szCs w:val="28"/>
          <w:lang w:val="el-GR"/>
        </w:rPr>
        <w:t>, η οποία ήταν μεταξύ των υποθέσεων που επικαλέστηκαν οι αιτητές, ήταν ορθός και εφαρμόσιμος σε περιπτώσεις όπου η ίδια η απόφαση του κατώτερου Δικαστηρίου δεν κείται υπό έφεση.</w:t>
      </w:r>
      <w:r w:rsidRPr="006E65A3">
        <w:rPr>
          <w:rFonts w:ascii="Bookman Old Style" w:hAnsi="Bookman Old Style"/>
          <w:i/>
          <w:iCs/>
          <w:spacing w:val="-3"/>
          <w:sz w:val="28"/>
          <w:szCs w:val="28"/>
          <w:lang w:val="el-GR"/>
        </w:rPr>
        <w:t xml:space="preserve"> </w:t>
      </w:r>
      <w:r w:rsidRPr="00A54E7A">
        <w:rPr>
          <w:rFonts w:ascii="Bookman Old Style" w:hAnsi="Bookman Old Style"/>
          <w:i/>
          <w:iCs/>
          <w:spacing w:val="-3"/>
          <w:sz w:val="28"/>
          <w:szCs w:val="28"/>
          <w:lang w:val="el-GR"/>
        </w:rPr>
        <w:t xml:space="preserve">Όπως λέχθηκε στην υπόθεση εκείνη από τον Πική, Δ., η Δ.35, θ.18, </w:t>
      </w:r>
      <w:r w:rsidRPr="00A54E7A">
        <w:rPr>
          <w:rFonts w:ascii="Bookman Old Style" w:hAnsi="Bookman Old Style"/>
          <w:b/>
          <w:bCs/>
          <w:i/>
          <w:iCs/>
          <w:spacing w:val="-3"/>
          <w:sz w:val="28"/>
          <w:szCs w:val="28"/>
          <w:lang w:val="el-GR"/>
        </w:rPr>
        <w:t>περιορίζεται σε αποφάσεις οι οποίες τελούν υπό έφεση</w:t>
      </w:r>
      <w:r w:rsidRPr="00A54E7A">
        <w:rPr>
          <w:rFonts w:ascii="Bookman Old Style" w:hAnsi="Bookman Old Style"/>
          <w:i/>
          <w:iCs/>
          <w:spacing w:val="-3"/>
          <w:sz w:val="28"/>
          <w:szCs w:val="28"/>
          <w:lang w:val="el-GR"/>
        </w:rPr>
        <w:t xml:space="preserve"> ενώ το σχετικό διάταγμα του Δικαστηρίου Ελέγχου Ενοικιάσεων δεν είχε εφεσιβληθεί. Εκείνο που εφεσιβλήθηκε ήταν η απορριπτική απόφαση του ιδίου του Δικαστή να ακυρώσει με </w:t>
      </w:r>
      <w:r w:rsidRPr="006E65A3">
        <w:rPr>
          <w:rFonts w:ascii="Bookman Old Style" w:hAnsi="Bookman Old Style"/>
          <w:i/>
          <w:iCs/>
          <w:spacing w:val="-3"/>
          <w:sz w:val="28"/>
          <w:szCs w:val="28"/>
          <w:lang w:val="en-US"/>
        </w:rPr>
        <w:t>Certiorari</w:t>
      </w:r>
      <w:r w:rsidRPr="006E65A3">
        <w:rPr>
          <w:rFonts w:ascii="Bookman Old Style" w:hAnsi="Bookman Old Style"/>
          <w:i/>
          <w:iCs/>
          <w:spacing w:val="-3"/>
          <w:sz w:val="28"/>
          <w:szCs w:val="28"/>
          <w:lang w:val="el-GR"/>
        </w:rPr>
        <w:t xml:space="preserve"> </w:t>
      </w:r>
      <w:r w:rsidRPr="00A54E7A">
        <w:rPr>
          <w:rFonts w:ascii="Bookman Old Style" w:hAnsi="Bookman Old Style"/>
          <w:i/>
          <w:iCs/>
          <w:spacing w:val="-3"/>
          <w:sz w:val="28"/>
          <w:szCs w:val="28"/>
          <w:lang w:val="el-GR"/>
        </w:rPr>
        <w:t>το διάταγμα του Δικαστηρίου Ελέγχου Ενοικιάσεων</w:t>
      </w:r>
      <w:r w:rsidRPr="00A54E7A">
        <w:rPr>
          <w:rFonts w:ascii="Bookman Old Style" w:hAnsi="Bookman Old Style"/>
          <w:spacing w:val="-3"/>
          <w:sz w:val="28"/>
          <w:szCs w:val="28"/>
          <w:lang w:val="el-GR"/>
        </w:rPr>
        <w:t>.»</w:t>
      </w:r>
    </w:p>
    <w:p w14:paraId="0D28679D" w14:textId="1E74B417" w:rsidR="00AD172D" w:rsidRDefault="005724FC" w:rsidP="00AD172D">
      <w:pPr>
        <w:spacing w:line="480" w:lineRule="auto"/>
        <w:ind w:right="-35"/>
        <w:jc w:val="both"/>
        <w:rPr>
          <w:rFonts w:ascii="Bookman Old Style" w:hAnsi="Bookman Old Style" w:cs="Arial"/>
          <w:lang w:val="el-GR"/>
        </w:rPr>
      </w:pPr>
      <w:r>
        <w:rPr>
          <w:rFonts w:ascii="Bookman Old Style" w:hAnsi="Bookman Old Style" w:cs="Arial"/>
          <w:sz w:val="28"/>
          <w:szCs w:val="28"/>
          <w:lang w:val="el-GR"/>
        </w:rPr>
        <w:t xml:space="preserve">                          </w:t>
      </w:r>
      <w:r w:rsidRPr="005724FC">
        <w:rPr>
          <w:rFonts w:ascii="Bookman Old Style" w:hAnsi="Bookman Old Style" w:cs="Arial"/>
          <w:lang w:val="el-GR"/>
        </w:rPr>
        <w:t>(</w:t>
      </w:r>
      <w:r w:rsidR="008B2B37">
        <w:rPr>
          <w:rFonts w:ascii="Bookman Old Style" w:hAnsi="Bookman Old Style" w:cs="Arial"/>
          <w:lang w:val="el-GR"/>
        </w:rPr>
        <w:t>Η</w:t>
      </w:r>
      <w:r w:rsidRPr="005724FC">
        <w:rPr>
          <w:rFonts w:ascii="Bookman Old Style" w:hAnsi="Bookman Old Style" w:cs="Arial"/>
          <w:lang w:val="el-GR"/>
        </w:rPr>
        <w:t xml:space="preserve"> έμφαση είναι του παρόντος Δικαστηρίου)</w:t>
      </w:r>
    </w:p>
    <w:p w14:paraId="5418A864" w14:textId="77777777" w:rsidR="005724FC" w:rsidRPr="005724FC" w:rsidRDefault="005724FC" w:rsidP="00AD172D">
      <w:pPr>
        <w:spacing w:line="480" w:lineRule="auto"/>
        <w:ind w:right="-35"/>
        <w:jc w:val="both"/>
        <w:rPr>
          <w:rFonts w:ascii="Bookman Old Style" w:hAnsi="Bookman Old Style" w:cs="Arial"/>
          <w:lang w:val="el-GR"/>
        </w:rPr>
      </w:pPr>
    </w:p>
    <w:p w14:paraId="0E638BF4" w14:textId="6EBF0445" w:rsidR="00BA127C" w:rsidRDefault="007F52BF" w:rsidP="00AD172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Στην υπόθεση </w:t>
      </w:r>
      <w:r w:rsidRPr="007F52BF">
        <w:rPr>
          <w:rFonts w:ascii="Bookman Old Style" w:hAnsi="Bookman Old Style" w:cs="Arial"/>
          <w:b/>
          <w:bCs/>
          <w:i/>
          <w:iCs/>
          <w:sz w:val="28"/>
          <w:szCs w:val="28"/>
          <w:lang w:val="el-GR"/>
        </w:rPr>
        <w:t>Ιωάννου (1993) 1 Α.Α.Δ. 305</w:t>
      </w:r>
      <w:r>
        <w:rPr>
          <w:rFonts w:ascii="Bookman Old Style" w:hAnsi="Bookman Old Style" w:cs="Arial"/>
          <w:sz w:val="28"/>
          <w:szCs w:val="28"/>
          <w:lang w:val="el-GR"/>
        </w:rPr>
        <w:t>, στην οποία παρέπεμψε το πρωτόδικο Δικαστήριο, τονίστηκε ότι:</w:t>
      </w:r>
    </w:p>
    <w:p w14:paraId="53C36E54" w14:textId="77777777" w:rsidR="007F52BF" w:rsidRDefault="007F52BF" w:rsidP="00AD172D">
      <w:pPr>
        <w:spacing w:line="480" w:lineRule="auto"/>
        <w:ind w:right="-35"/>
        <w:jc w:val="both"/>
        <w:rPr>
          <w:rFonts w:ascii="Bookman Old Style" w:hAnsi="Bookman Old Style" w:cs="Arial"/>
          <w:sz w:val="28"/>
          <w:szCs w:val="28"/>
          <w:lang w:val="el-GR"/>
        </w:rPr>
      </w:pPr>
    </w:p>
    <w:p w14:paraId="4716FF2F" w14:textId="47039056" w:rsidR="007F52BF" w:rsidRPr="007F52BF" w:rsidRDefault="007F52BF" w:rsidP="007F52BF">
      <w:pPr>
        <w:spacing w:line="276" w:lineRule="auto"/>
        <w:ind w:left="426" w:right="390"/>
        <w:jc w:val="both"/>
        <w:rPr>
          <w:rFonts w:ascii="Bookman Old Style" w:hAnsi="Bookman Old Style" w:cs="Arial"/>
          <w:sz w:val="28"/>
          <w:szCs w:val="28"/>
          <w:lang w:val="el-GR"/>
        </w:rPr>
      </w:pPr>
      <w:r w:rsidRPr="007F52BF">
        <w:rPr>
          <w:rFonts w:ascii="Bookman Old Style" w:hAnsi="Bookman Old Style"/>
          <w:color w:val="000000"/>
          <w:sz w:val="28"/>
          <w:szCs w:val="28"/>
          <w:lang w:val="el-GR"/>
        </w:rPr>
        <w:t>«</w:t>
      </w:r>
      <w:r w:rsidRPr="007F52BF">
        <w:rPr>
          <w:rFonts w:ascii="Bookman Old Style" w:hAnsi="Bookman Old Style"/>
          <w:i/>
          <w:iCs/>
          <w:color w:val="000000"/>
          <w:sz w:val="28"/>
          <w:szCs w:val="28"/>
          <w:lang w:val="el-GR"/>
        </w:rPr>
        <w:t xml:space="preserve">Η Δ.35 Θ.18 των Θεσμών περί </w:t>
      </w:r>
      <w:r w:rsidRPr="007F52BF">
        <w:rPr>
          <w:rFonts w:ascii="Bookman Old Style" w:hAnsi="Bookman Old Style"/>
          <w:i/>
          <w:iCs/>
          <w:color w:val="000000"/>
          <w:spacing w:val="-3"/>
          <w:sz w:val="28"/>
          <w:szCs w:val="28"/>
          <w:lang w:val="el-GR"/>
        </w:rPr>
        <w:t>Πολιτικής Δικονομίας αναφέρεται στη δυνατότητα αναστολής της εκτέλεσης απόφασης εκκρεμούσας έφεσης που ασκείται προς πα</w:t>
      </w:r>
      <w:r w:rsidRPr="007F52BF">
        <w:rPr>
          <w:rFonts w:ascii="Bookman Old Style" w:hAnsi="Bookman Old Style"/>
          <w:i/>
          <w:iCs/>
          <w:color w:val="000000"/>
          <w:spacing w:val="-5"/>
          <w:sz w:val="28"/>
          <w:szCs w:val="28"/>
          <w:lang w:val="el-GR"/>
        </w:rPr>
        <w:t>ραμερισμό της</w:t>
      </w:r>
      <w:r w:rsidRPr="007F52BF">
        <w:rPr>
          <w:rFonts w:ascii="Bookman Old Style" w:hAnsi="Bookman Old Style"/>
          <w:color w:val="000000"/>
          <w:spacing w:val="-5"/>
          <w:sz w:val="28"/>
          <w:szCs w:val="28"/>
          <w:lang w:val="el-GR"/>
        </w:rPr>
        <w:t>.»</w:t>
      </w:r>
    </w:p>
    <w:p w14:paraId="19560FAB" w14:textId="77777777" w:rsidR="00294FE1" w:rsidRPr="00AD172D" w:rsidRDefault="00294FE1" w:rsidP="00AD172D">
      <w:pPr>
        <w:spacing w:line="480" w:lineRule="auto"/>
        <w:ind w:right="-35"/>
        <w:jc w:val="both"/>
        <w:rPr>
          <w:rFonts w:ascii="Bookman Old Style" w:hAnsi="Bookman Old Style" w:cs="Arial"/>
          <w:sz w:val="28"/>
          <w:szCs w:val="28"/>
          <w:lang w:val="el-GR"/>
        </w:rPr>
      </w:pPr>
    </w:p>
    <w:p w14:paraId="47CA2476" w14:textId="1680B238" w:rsidR="00294FE1" w:rsidRDefault="00F03150" w:rsidP="00963265">
      <w:pPr>
        <w:spacing w:line="480" w:lineRule="auto"/>
        <w:ind w:right="-35"/>
        <w:jc w:val="both"/>
        <w:rPr>
          <w:rFonts w:ascii="Bookman Old Style" w:hAnsi="Bookman Old Style"/>
          <w:sz w:val="28"/>
          <w:szCs w:val="28"/>
          <w:lang w:val="el-GR"/>
        </w:rPr>
      </w:pPr>
      <w:r>
        <w:rPr>
          <w:rFonts w:ascii="Bookman Old Style" w:hAnsi="Bookman Old Style" w:cs="Arial"/>
          <w:sz w:val="28"/>
          <w:szCs w:val="28"/>
          <w:lang w:val="el-GR"/>
        </w:rPr>
        <w:t>Κατά ανάλογο τρόπο σ</w:t>
      </w:r>
      <w:r w:rsidR="0087582D">
        <w:rPr>
          <w:rFonts w:ascii="Bookman Old Style" w:hAnsi="Bookman Old Style" w:cs="Arial"/>
          <w:sz w:val="28"/>
          <w:szCs w:val="28"/>
          <w:lang w:val="el-GR"/>
        </w:rPr>
        <w:t xml:space="preserve">την </w:t>
      </w:r>
      <w:r w:rsidR="0087582D" w:rsidRPr="0087582D">
        <w:rPr>
          <w:rFonts w:ascii="Bookman Old Style" w:hAnsi="Bookman Old Style" w:cs="Arial"/>
          <w:sz w:val="28"/>
          <w:szCs w:val="28"/>
          <w:lang w:val="el-GR"/>
        </w:rPr>
        <w:t xml:space="preserve">υπόθεση </w:t>
      </w:r>
      <w:r w:rsidR="0087582D" w:rsidRPr="0087582D">
        <w:rPr>
          <w:rFonts w:ascii="Bookman Old Style" w:hAnsi="Bookman Old Style"/>
          <w:b/>
          <w:bCs/>
          <w:i/>
          <w:iCs/>
          <w:sz w:val="28"/>
          <w:szCs w:val="28"/>
          <w:lang w:val="el-GR"/>
        </w:rPr>
        <w:t>Λαϊκή Κυπριακή Τράπεζα (Χρηματοδοτήσεις) Λτδ ν. Λύρα (1997) 1 Α.Α.Δ. 1384</w:t>
      </w:r>
      <w:r>
        <w:rPr>
          <w:rFonts w:ascii="Bookman Old Style" w:hAnsi="Bookman Old Style"/>
          <w:b/>
          <w:bCs/>
          <w:i/>
          <w:iCs/>
          <w:sz w:val="28"/>
          <w:szCs w:val="28"/>
          <w:lang w:val="el-GR"/>
        </w:rPr>
        <w:t xml:space="preserve"> </w:t>
      </w:r>
      <w:r>
        <w:rPr>
          <w:rFonts w:ascii="Bookman Old Style" w:hAnsi="Bookman Old Style"/>
          <w:sz w:val="28"/>
          <w:szCs w:val="28"/>
          <w:lang w:val="el-GR"/>
        </w:rPr>
        <w:t>αναφέρθηκε ότι:</w:t>
      </w:r>
    </w:p>
    <w:p w14:paraId="62915B73" w14:textId="77777777" w:rsidR="006E65A3" w:rsidRPr="00F03150" w:rsidRDefault="006E65A3" w:rsidP="00963265">
      <w:pPr>
        <w:spacing w:line="480" w:lineRule="auto"/>
        <w:ind w:right="-35"/>
        <w:jc w:val="both"/>
        <w:rPr>
          <w:rFonts w:ascii="Bookman Old Style" w:hAnsi="Bookman Old Style" w:cs="Arial"/>
          <w:sz w:val="28"/>
          <w:szCs w:val="28"/>
          <w:lang w:val="el-GR"/>
        </w:rPr>
      </w:pPr>
    </w:p>
    <w:p w14:paraId="3100F290" w14:textId="36608748" w:rsidR="00E55B7C" w:rsidRPr="007F52BF" w:rsidRDefault="007F52BF" w:rsidP="005724FC">
      <w:pPr>
        <w:spacing w:line="276" w:lineRule="auto"/>
        <w:ind w:left="426" w:right="390"/>
        <w:jc w:val="both"/>
        <w:rPr>
          <w:rFonts w:ascii="Bookman Old Style" w:hAnsi="Bookman Old Style" w:cs="Arial"/>
          <w:sz w:val="28"/>
          <w:szCs w:val="28"/>
          <w:lang w:val="el-GR"/>
        </w:rPr>
      </w:pPr>
      <w:r>
        <w:rPr>
          <w:rStyle w:val="fontstyle13"/>
          <w:sz w:val="28"/>
          <w:szCs w:val="28"/>
          <w:lang w:val="el-GR"/>
        </w:rPr>
        <w:t>«</w:t>
      </w:r>
      <w:r w:rsidRPr="00F03150">
        <w:rPr>
          <w:rStyle w:val="fontstyle13"/>
          <w:rFonts w:ascii="Bookman Old Style" w:hAnsi="Bookman Old Style"/>
          <w:i/>
          <w:iCs/>
          <w:sz w:val="28"/>
          <w:szCs w:val="28"/>
          <w:lang w:val="el-GR"/>
        </w:rPr>
        <w:t xml:space="preserve">Το αντικείμενο της δικαιοδοσίας του Ανωτάτου Δικαστηρίου βάσει της </w:t>
      </w:r>
      <w:r w:rsidRPr="00F03150">
        <w:rPr>
          <w:rStyle w:val="fontstyle13"/>
          <w:rFonts w:ascii="Bookman Old Style" w:hAnsi="Bookman Old Style"/>
          <w:i/>
          <w:iCs/>
          <w:sz w:val="28"/>
          <w:szCs w:val="28"/>
          <w:u w:val="single"/>
          <w:lang w:val="el-GR"/>
        </w:rPr>
        <w:t xml:space="preserve">Δ.35, </w:t>
      </w:r>
      <w:r w:rsidRPr="00F03150">
        <w:rPr>
          <w:rStyle w:val="fontstyle13"/>
          <w:rFonts w:ascii="Bookman Old Style" w:hAnsi="Bookman Old Style"/>
          <w:i/>
          <w:iCs/>
          <w:sz w:val="28"/>
          <w:szCs w:val="28"/>
          <w:lang w:val="el-GR"/>
        </w:rPr>
        <w:t>θ. 18 είναι η αναστολή θετικής υποχρέωσης ή καθήκοντος το οποίο επιβάλλεται από την απόφαση η οποία εφεσιβάλλεται</w:t>
      </w:r>
      <w:r w:rsidR="008B2B37">
        <w:rPr>
          <w:rStyle w:val="fontstyle13"/>
          <w:rFonts w:ascii="Bookman Old Style" w:hAnsi="Bookman Old Style"/>
          <w:i/>
          <w:iCs/>
          <w:sz w:val="28"/>
          <w:szCs w:val="28"/>
          <w:lang w:val="el-GR"/>
        </w:rPr>
        <w:t>.</w:t>
      </w:r>
      <w:r>
        <w:rPr>
          <w:rStyle w:val="fontstyle13"/>
          <w:rFonts w:ascii="Bookman Old Style" w:hAnsi="Bookman Old Style"/>
          <w:sz w:val="28"/>
          <w:szCs w:val="28"/>
          <w:lang w:val="el-GR"/>
        </w:rPr>
        <w:t>»</w:t>
      </w:r>
    </w:p>
    <w:p w14:paraId="653F13F5" w14:textId="580751FF" w:rsidR="00457CBF" w:rsidRDefault="00F03150"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Είναι, επομένως, σαφές ότι το αντικείμενο διατάγματος κάτω από τη </w:t>
      </w:r>
      <w:r w:rsidRPr="00AD172D">
        <w:rPr>
          <w:rFonts w:ascii="Bookman Old Style" w:hAnsi="Bookman Old Style" w:cs="Arial"/>
          <w:b/>
          <w:bCs/>
          <w:i/>
          <w:iCs/>
          <w:sz w:val="28"/>
          <w:szCs w:val="28"/>
          <w:lang w:val="el-GR"/>
        </w:rPr>
        <w:t>Δ. 35, θ. 18</w:t>
      </w:r>
      <w:r>
        <w:rPr>
          <w:rFonts w:ascii="Bookman Old Style" w:hAnsi="Bookman Old Style" w:cs="Arial"/>
          <w:sz w:val="28"/>
          <w:szCs w:val="28"/>
          <w:lang w:val="el-GR"/>
        </w:rPr>
        <w:t xml:space="preserve"> είναι η αναστολή της εκτέλεσης αυτής τούτης της απόφασης η οποία εφεσιβάλλεται.</w:t>
      </w:r>
    </w:p>
    <w:p w14:paraId="2EB9968C" w14:textId="77777777" w:rsidR="00201535" w:rsidRDefault="00201535" w:rsidP="00963265">
      <w:pPr>
        <w:spacing w:line="480" w:lineRule="auto"/>
        <w:ind w:right="-35"/>
        <w:jc w:val="both"/>
        <w:rPr>
          <w:rFonts w:ascii="Bookman Old Style" w:hAnsi="Bookman Old Style" w:cs="Arial"/>
          <w:sz w:val="28"/>
          <w:szCs w:val="28"/>
          <w:lang w:val="el-GR"/>
        </w:rPr>
      </w:pPr>
    </w:p>
    <w:p w14:paraId="076BE268" w14:textId="0417900D" w:rsidR="00F03150" w:rsidRPr="00201535" w:rsidRDefault="00F03150"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Ως εκ τούτου</w:t>
      </w:r>
      <w:r w:rsidR="00201535">
        <w:rPr>
          <w:rFonts w:ascii="Bookman Old Style" w:hAnsi="Bookman Old Style" w:cs="Arial"/>
          <w:sz w:val="28"/>
          <w:szCs w:val="28"/>
          <w:lang w:val="el-GR"/>
        </w:rPr>
        <w:t>,</w:t>
      </w:r>
      <w:r>
        <w:rPr>
          <w:rFonts w:ascii="Bookman Old Style" w:hAnsi="Bookman Old Style" w:cs="Arial"/>
          <w:sz w:val="28"/>
          <w:szCs w:val="28"/>
          <w:lang w:val="el-GR"/>
        </w:rPr>
        <w:t xml:space="preserve"> ορθά το πρωτόδικο Δικαστήριο κατέληξε ότι</w:t>
      </w:r>
      <w:r w:rsidR="00201535">
        <w:rPr>
          <w:rFonts w:ascii="Bookman Old Style" w:hAnsi="Bookman Old Style" w:cs="Arial"/>
          <w:sz w:val="28"/>
          <w:szCs w:val="28"/>
          <w:lang w:val="el-GR"/>
        </w:rPr>
        <w:t>,</w:t>
      </w:r>
      <w:r>
        <w:rPr>
          <w:rFonts w:ascii="Bookman Old Style" w:hAnsi="Bookman Old Style" w:cs="Arial"/>
          <w:sz w:val="28"/>
          <w:szCs w:val="28"/>
          <w:lang w:val="el-GR"/>
        </w:rPr>
        <w:t xml:space="preserve"> στο </w:t>
      </w:r>
      <w:r w:rsidR="00201535">
        <w:rPr>
          <w:rFonts w:ascii="Bookman Old Style" w:hAnsi="Bookman Old Style" w:cs="Arial"/>
          <w:sz w:val="28"/>
          <w:szCs w:val="28"/>
          <w:lang w:val="el-GR"/>
        </w:rPr>
        <w:t>πλαίσιο</w:t>
      </w:r>
      <w:r>
        <w:rPr>
          <w:rFonts w:ascii="Bookman Old Style" w:hAnsi="Bookman Old Style" w:cs="Arial"/>
          <w:sz w:val="28"/>
          <w:szCs w:val="28"/>
          <w:lang w:val="el-GR"/>
        </w:rPr>
        <w:t xml:space="preserve"> της εκκρεμοδικίας της Έφεσης </w:t>
      </w:r>
      <w:r w:rsidR="00201535">
        <w:rPr>
          <w:rFonts w:ascii="Bookman Old Style" w:hAnsi="Bookman Old Style" w:cs="Arial"/>
          <w:sz w:val="28"/>
          <w:szCs w:val="28"/>
          <w:lang w:val="el-GR"/>
        </w:rPr>
        <w:t>υπ</w:t>
      </w:r>
      <w:r w:rsidR="005C3B80">
        <w:rPr>
          <w:rFonts w:ascii="Bookman Old Style" w:hAnsi="Bookman Old Style" w:cs="Arial"/>
          <w:sz w:val="28"/>
          <w:szCs w:val="28"/>
          <w:lang w:val="el-GR"/>
        </w:rPr>
        <w:t>’</w:t>
      </w:r>
      <w:r w:rsidR="00201535">
        <w:rPr>
          <w:rFonts w:ascii="Bookman Old Style" w:hAnsi="Bookman Old Style" w:cs="Arial"/>
          <w:sz w:val="28"/>
          <w:szCs w:val="28"/>
          <w:lang w:val="el-GR"/>
        </w:rPr>
        <w:t xml:space="preserve"> αρ. Ε83/</w:t>
      </w:r>
      <w:r w:rsidR="005C3B80">
        <w:rPr>
          <w:rFonts w:ascii="Bookman Old Style" w:hAnsi="Bookman Old Style" w:cs="Arial"/>
          <w:sz w:val="28"/>
          <w:szCs w:val="28"/>
          <w:lang w:val="el-GR"/>
        </w:rPr>
        <w:t>20</w:t>
      </w:r>
      <w:r w:rsidR="00201535">
        <w:rPr>
          <w:rFonts w:ascii="Bookman Old Style" w:hAnsi="Bookman Old Style" w:cs="Arial"/>
          <w:sz w:val="28"/>
          <w:szCs w:val="28"/>
          <w:lang w:val="el-GR"/>
        </w:rPr>
        <w:t>22,</w:t>
      </w:r>
      <w:r>
        <w:rPr>
          <w:rFonts w:ascii="Bookman Old Style" w:hAnsi="Bookman Old Style" w:cs="Arial"/>
          <w:sz w:val="28"/>
          <w:szCs w:val="28"/>
          <w:lang w:val="el-GR"/>
        </w:rPr>
        <w:t xml:space="preserve"> η αναστολή της </w:t>
      </w:r>
      <w:r w:rsidR="00201535">
        <w:rPr>
          <w:rFonts w:ascii="Bookman Old Style" w:hAnsi="Bookman Old Style" w:cs="Arial"/>
          <w:sz w:val="28"/>
          <w:szCs w:val="28"/>
          <w:lang w:val="el-GR"/>
        </w:rPr>
        <w:t>εκτέλεσης</w:t>
      </w:r>
      <w:r>
        <w:rPr>
          <w:rFonts w:ascii="Bookman Old Style" w:hAnsi="Bookman Old Style" w:cs="Arial"/>
          <w:sz w:val="28"/>
          <w:szCs w:val="28"/>
          <w:lang w:val="el-GR"/>
        </w:rPr>
        <w:t xml:space="preserve"> </w:t>
      </w:r>
      <w:r w:rsidR="00201535">
        <w:rPr>
          <w:rFonts w:ascii="Bookman Old Style" w:hAnsi="Bookman Old Style" w:cs="Arial"/>
          <w:sz w:val="28"/>
          <w:szCs w:val="28"/>
          <w:lang w:val="el-GR"/>
        </w:rPr>
        <w:t xml:space="preserve">άλλης δικαστικής απόφασης που δεν αποτελούσε αντικείμενο της εκκρεμοδικίας, συνιστούσε νομικό σφάλμα του Δικαστηρίου, </w:t>
      </w:r>
      <w:r w:rsidR="00201535" w:rsidRPr="00201535">
        <w:rPr>
          <w:rFonts w:ascii="Bookman Old Style" w:hAnsi="Bookman Old Style"/>
          <w:sz w:val="28"/>
          <w:szCs w:val="28"/>
          <w:lang w:val="el-GR"/>
        </w:rPr>
        <w:t>καταφανές στο πρακτικό του</w:t>
      </w:r>
      <w:r w:rsidR="00201535">
        <w:rPr>
          <w:rFonts w:ascii="Bookman Old Style" w:hAnsi="Bookman Old Style"/>
          <w:sz w:val="28"/>
          <w:szCs w:val="28"/>
          <w:lang w:val="el-GR"/>
        </w:rPr>
        <w:t>.</w:t>
      </w:r>
    </w:p>
    <w:p w14:paraId="3FED95D1" w14:textId="77777777" w:rsidR="00457CBF" w:rsidRPr="008518F5" w:rsidRDefault="00457CBF" w:rsidP="00963265">
      <w:pPr>
        <w:spacing w:line="480" w:lineRule="auto"/>
        <w:ind w:right="-35"/>
        <w:jc w:val="both"/>
        <w:rPr>
          <w:rFonts w:ascii="Bookman Old Style" w:hAnsi="Bookman Old Style" w:cs="Arial"/>
          <w:sz w:val="28"/>
          <w:szCs w:val="28"/>
          <w:lang w:val="el-GR"/>
        </w:rPr>
      </w:pPr>
    </w:p>
    <w:p w14:paraId="1899376A" w14:textId="59486C10" w:rsidR="00AD4B81" w:rsidRPr="0014290A" w:rsidRDefault="005E7EE5"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τον </w:t>
      </w:r>
      <w:r w:rsidRPr="0014290A">
        <w:rPr>
          <w:rFonts w:ascii="Bookman Old Style" w:hAnsi="Bookman Old Style" w:cs="Arial"/>
          <w:b/>
          <w:bCs/>
          <w:sz w:val="28"/>
          <w:szCs w:val="28"/>
          <w:lang w:val="el-GR"/>
        </w:rPr>
        <w:t>3</w:t>
      </w:r>
      <w:r w:rsidRPr="0014290A">
        <w:rPr>
          <w:rFonts w:ascii="Bookman Old Style" w:hAnsi="Bookman Old Style" w:cs="Arial"/>
          <w:b/>
          <w:bCs/>
          <w:sz w:val="28"/>
          <w:szCs w:val="28"/>
          <w:vertAlign w:val="superscript"/>
          <w:lang w:val="el-GR"/>
        </w:rPr>
        <w:t>ο</w:t>
      </w:r>
      <w:r w:rsidRPr="0014290A">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οι Εφεσείοντες διατείνονται ότι λανθασμένα το πρωτόδικο Δικαστήριο εξέδωσε το </w:t>
      </w:r>
      <w:r w:rsidR="0014290A">
        <w:rPr>
          <w:rFonts w:ascii="Bookman Old Style" w:hAnsi="Bookman Old Style" w:cs="Arial"/>
          <w:sz w:val="28"/>
          <w:szCs w:val="28"/>
          <w:lang w:val="el-GR"/>
        </w:rPr>
        <w:t>Π</w:t>
      </w:r>
      <w:r>
        <w:rPr>
          <w:rFonts w:ascii="Bookman Old Style" w:hAnsi="Bookman Old Style" w:cs="Arial"/>
          <w:sz w:val="28"/>
          <w:szCs w:val="28"/>
          <w:lang w:val="el-GR"/>
        </w:rPr>
        <w:t xml:space="preserve">ρονομιακό </w:t>
      </w:r>
      <w:r w:rsidR="0014290A">
        <w:rPr>
          <w:rFonts w:ascii="Bookman Old Style" w:hAnsi="Bookman Old Style" w:cs="Arial"/>
          <w:sz w:val="28"/>
          <w:szCs w:val="28"/>
          <w:lang w:val="el-GR"/>
        </w:rPr>
        <w:t>Έν</w:t>
      </w:r>
      <w:r>
        <w:rPr>
          <w:rFonts w:ascii="Bookman Old Style" w:hAnsi="Bookman Old Style" w:cs="Arial"/>
          <w:sz w:val="28"/>
          <w:szCs w:val="28"/>
          <w:lang w:val="el-GR"/>
        </w:rPr>
        <w:t>ταλμα</w:t>
      </w:r>
      <w:r w:rsidR="0014290A" w:rsidRPr="0014290A">
        <w:rPr>
          <w:rFonts w:ascii="Bookman Old Style" w:hAnsi="Bookman Old Style"/>
          <w:i/>
          <w:iCs/>
          <w:spacing w:val="-3"/>
          <w:sz w:val="28"/>
          <w:szCs w:val="28"/>
          <w:lang w:val="el-GR"/>
        </w:rPr>
        <w:t xml:space="preserve"> </w:t>
      </w:r>
      <w:r w:rsidR="0014290A" w:rsidRPr="00AD172D">
        <w:rPr>
          <w:rFonts w:ascii="Bookman Old Style" w:hAnsi="Bookman Old Style"/>
          <w:i/>
          <w:iCs/>
          <w:spacing w:val="-3"/>
          <w:sz w:val="28"/>
          <w:szCs w:val="28"/>
          <w:lang w:val="en-US"/>
        </w:rPr>
        <w:t>Certiorari</w:t>
      </w:r>
      <w:r>
        <w:rPr>
          <w:rFonts w:ascii="Bookman Old Style" w:hAnsi="Bookman Old Style" w:cs="Arial"/>
          <w:sz w:val="28"/>
          <w:szCs w:val="28"/>
          <w:lang w:val="el-GR"/>
        </w:rPr>
        <w:t xml:space="preserve"> καθότι</w:t>
      </w:r>
      <w:r w:rsidR="0014290A">
        <w:rPr>
          <w:rFonts w:ascii="Bookman Old Style" w:hAnsi="Bookman Old Style" w:cs="Arial"/>
          <w:sz w:val="28"/>
          <w:szCs w:val="28"/>
          <w:lang w:val="el-GR"/>
        </w:rPr>
        <w:t>,</w:t>
      </w:r>
      <w:r>
        <w:rPr>
          <w:rFonts w:ascii="Bookman Old Style" w:hAnsi="Bookman Old Style" w:cs="Arial"/>
          <w:sz w:val="28"/>
          <w:szCs w:val="28"/>
          <w:lang w:val="el-GR"/>
        </w:rPr>
        <w:t xml:space="preserve">  στην υπό συζήτηση </w:t>
      </w:r>
      <w:r w:rsidR="0014290A">
        <w:rPr>
          <w:rFonts w:ascii="Bookman Old Style" w:hAnsi="Bookman Old Style" w:cs="Arial"/>
          <w:sz w:val="28"/>
          <w:szCs w:val="28"/>
          <w:lang w:val="el-GR"/>
        </w:rPr>
        <w:t>περίπτωση,</w:t>
      </w:r>
      <w:r>
        <w:rPr>
          <w:rFonts w:ascii="Bookman Old Style" w:hAnsi="Bookman Old Style" w:cs="Arial"/>
          <w:sz w:val="28"/>
          <w:szCs w:val="28"/>
          <w:lang w:val="el-GR"/>
        </w:rPr>
        <w:t xml:space="preserve"> οι Εφεσίβλητοι </w:t>
      </w:r>
      <w:r w:rsidR="0014290A">
        <w:rPr>
          <w:rFonts w:ascii="Bookman Old Style" w:hAnsi="Bookman Old Style" w:cs="Arial"/>
          <w:sz w:val="28"/>
          <w:szCs w:val="28"/>
          <w:lang w:val="el-GR"/>
        </w:rPr>
        <w:t xml:space="preserve">είχαν στη διάθεση τους εναλλακτικό ένδικο μέσο. Όπως υποστήριξαν, παρείχετο στους Εφεσίβλητους η δυνατότητα να προσφύγουν στις διατάξεις της </w:t>
      </w:r>
      <w:r w:rsidR="0014290A" w:rsidRPr="006916A2">
        <w:rPr>
          <w:rFonts w:ascii="Bookman Old Style" w:hAnsi="Bookman Old Style" w:cs="Arial"/>
          <w:b/>
          <w:bCs/>
          <w:i/>
          <w:iCs/>
          <w:sz w:val="28"/>
          <w:szCs w:val="28"/>
          <w:lang w:val="el-GR"/>
        </w:rPr>
        <w:t xml:space="preserve">Δ. 48, </w:t>
      </w:r>
      <w:r w:rsidR="005C3B80">
        <w:rPr>
          <w:rFonts w:ascii="Bookman Old Style" w:hAnsi="Bookman Old Style" w:cs="Arial"/>
          <w:b/>
          <w:bCs/>
          <w:i/>
          <w:iCs/>
          <w:sz w:val="28"/>
          <w:szCs w:val="28"/>
          <w:lang w:val="el-GR"/>
        </w:rPr>
        <w:t xml:space="preserve">          </w:t>
      </w:r>
      <w:r w:rsidR="0014290A" w:rsidRPr="006916A2">
        <w:rPr>
          <w:rFonts w:ascii="Bookman Old Style" w:hAnsi="Bookman Old Style" w:cs="Arial"/>
          <w:b/>
          <w:bCs/>
          <w:i/>
          <w:iCs/>
          <w:sz w:val="28"/>
          <w:szCs w:val="28"/>
          <w:lang w:val="el-GR"/>
        </w:rPr>
        <w:t>θ. 8(4)</w:t>
      </w:r>
      <w:r w:rsidR="0014290A">
        <w:rPr>
          <w:rFonts w:ascii="Bookman Old Style" w:hAnsi="Bookman Old Style" w:cs="Arial"/>
          <w:sz w:val="28"/>
          <w:szCs w:val="28"/>
          <w:lang w:val="el-GR"/>
        </w:rPr>
        <w:t xml:space="preserve"> των </w:t>
      </w:r>
      <w:r w:rsidR="0014290A" w:rsidRPr="006916A2">
        <w:rPr>
          <w:rFonts w:ascii="Bookman Old Style" w:hAnsi="Bookman Old Style" w:cs="Arial"/>
          <w:b/>
          <w:bCs/>
          <w:i/>
          <w:iCs/>
          <w:sz w:val="28"/>
          <w:szCs w:val="28"/>
          <w:lang w:val="el-GR"/>
        </w:rPr>
        <w:t>Θεσμών</w:t>
      </w:r>
      <w:r w:rsidR="002A1562">
        <w:rPr>
          <w:rStyle w:val="FootnoteReference"/>
          <w:rFonts w:ascii="Bookman Old Style" w:hAnsi="Bookman Old Style" w:cs="Arial"/>
          <w:b/>
          <w:bCs/>
          <w:i/>
          <w:iCs/>
          <w:sz w:val="28"/>
          <w:szCs w:val="28"/>
          <w:lang w:val="el-GR"/>
        </w:rPr>
        <w:footnoteReference w:id="2"/>
      </w:r>
      <w:r w:rsidR="0014290A">
        <w:rPr>
          <w:rFonts w:ascii="Bookman Old Style" w:hAnsi="Bookman Old Style" w:cs="Arial"/>
          <w:b/>
          <w:bCs/>
          <w:i/>
          <w:iCs/>
          <w:sz w:val="28"/>
          <w:szCs w:val="28"/>
          <w:lang w:val="el-GR"/>
        </w:rPr>
        <w:t xml:space="preserve"> </w:t>
      </w:r>
      <w:r w:rsidR="0014290A">
        <w:rPr>
          <w:rFonts w:ascii="Bookman Old Style" w:hAnsi="Bookman Old Style" w:cs="Arial"/>
          <w:sz w:val="28"/>
          <w:szCs w:val="28"/>
          <w:lang w:val="el-GR"/>
        </w:rPr>
        <w:t>επιζητώντας την ακύρωση και/ή παραμερισμό του μονομερώς εκδοθέντος Διατάγματος ημερ. 23/5/2022. Δεν το έπραξαν αλλά τουναντίον, όπως προβλήθηκε, «</w:t>
      </w:r>
      <w:r w:rsidR="0014290A" w:rsidRPr="0014290A">
        <w:rPr>
          <w:rFonts w:ascii="Bookman Old Style" w:hAnsi="Bookman Old Style" w:cs="Arial"/>
          <w:i/>
          <w:iCs/>
          <w:sz w:val="28"/>
          <w:szCs w:val="28"/>
          <w:lang w:val="el-GR"/>
        </w:rPr>
        <w:t>επέλεξαν καταχρηστικά να καταφύγουν στο κατάλοιπο της εξουσίας του Ανωτάτου Δικαστηρίου</w:t>
      </w:r>
      <w:r w:rsidR="0014290A">
        <w:rPr>
          <w:rFonts w:ascii="Bookman Old Style" w:hAnsi="Bookman Old Style" w:cs="Arial"/>
          <w:sz w:val="28"/>
          <w:szCs w:val="28"/>
          <w:lang w:val="el-GR"/>
        </w:rPr>
        <w:t>».</w:t>
      </w:r>
    </w:p>
    <w:p w14:paraId="29B6A3ED" w14:textId="37B116BF" w:rsidR="009D6B47" w:rsidRPr="002665E5" w:rsidRDefault="002665E5"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με παραπομπή σε σχετική νομολογία, έκρινε ότι στην υπό κρίση περίπτωση δεν προσφέρετο η δυνατότητα προσφυγής στις πρόνοιες της </w:t>
      </w:r>
      <w:r w:rsidRPr="006916A2">
        <w:rPr>
          <w:rFonts w:ascii="Bookman Old Style" w:hAnsi="Bookman Old Style" w:cs="Arial"/>
          <w:b/>
          <w:bCs/>
          <w:i/>
          <w:iCs/>
          <w:sz w:val="28"/>
          <w:szCs w:val="28"/>
          <w:lang w:val="el-GR"/>
        </w:rPr>
        <w:t>Δ. 48, θ. 8(4)</w:t>
      </w:r>
      <w:r>
        <w:rPr>
          <w:rFonts w:ascii="Bookman Old Style" w:hAnsi="Bookman Old Style" w:cs="Arial"/>
          <w:sz w:val="28"/>
          <w:szCs w:val="28"/>
          <w:lang w:val="el-GR"/>
        </w:rPr>
        <w:t xml:space="preserve"> των </w:t>
      </w:r>
      <w:r w:rsidRPr="006916A2">
        <w:rPr>
          <w:rFonts w:ascii="Bookman Old Style" w:hAnsi="Bookman Old Style" w:cs="Arial"/>
          <w:b/>
          <w:bCs/>
          <w:i/>
          <w:iCs/>
          <w:sz w:val="28"/>
          <w:szCs w:val="28"/>
          <w:lang w:val="el-GR"/>
        </w:rPr>
        <w:t>Θεσμών</w:t>
      </w:r>
      <w:r>
        <w:rPr>
          <w:rFonts w:ascii="Bookman Old Style" w:hAnsi="Bookman Old Style" w:cs="Arial"/>
          <w:sz w:val="28"/>
          <w:szCs w:val="28"/>
          <w:lang w:val="el-GR"/>
        </w:rPr>
        <w:t xml:space="preserve">. Και τούτο στη βάση του ότι, όπως λέχθηκε στην υπόθεση </w:t>
      </w:r>
      <w:r w:rsidRPr="002665E5">
        <w:rPr>
          <w:rFonts w:ascii="Bookman Old Style" w:hAnsi="Bookman Old Style" w:cs="Arial"/>
          <w:b/>
          <w:bCs/>
          <w:i/>
          <w:iCs/>
          <w:sz w:val="28"/>
          <w:szCs w:val="28"/>
          <w:lang w:val="el-GR"/>
        </w:rPr>
        <w:t>Βασούλα Τάσου Κακουρή (2000) 1 Α.Α.Δ. 1372</w:t>
      </w:r>
      <w:r>
        <w:rPr>
          <w:rFonts w:ascii="Bookman Old Style" w:hAnsi="Bookman Old Style" w:cs="Arial"/>
          <w:i/>
          <w:iCs/>
          <w:sz w:val="28"/>
          <w:szCs w:val="28"/>
          <w:lang w:val="el-GR"/>
        </w:rPr>
        <w:t>,</w:t>
      </w:r>
      <w:r>
        <w:rPr>
          <w:rFonts w:ascii="Bookman Old Style" w:hAnsi="Bookman Old Style" w:cs="Arial"/>
          <w:sz w:val="28"/>
          <w:szCs w:val="28"/>
          <w:lang w:val="el-GR"/>
        </w:rPr>
        <w:t xml:space="preserve"> «</w:t>
      </w:r>
      <w:r w:rsidRPr="002665E5">
        <w:rPr>
          <w:rFonts w:ascii="Bookman Old Style" w:hAnsi="Bookman Old Style"/>
          <w:i/>
          <w:iCs/>
          <w:sz w:val="28"/>
          <w:szCs w:val="28"/>
          <w:lang w:val="el-GR"/>
        </w:rPr>
        <w:t xml:space="preserve">η δυνατότητα που προσφέρει η </w:t>
      </w:r>
      <w:r w:rsidRPr="002665E5">
        <w:rPr>
          <w:rFonts w:ascii="Bookman Old Style" w:hAnsi="Bookman Old Style"/>
          <w:b/>
          <w:bCs/>
          <w:i/>
          <w:iCs/>
          <w:sz w:val="28"/>
          <w:szCs w:val="28"/>
          <w:lang w:val="el-GR"/>
        </w:rPr>
        <w:t>Δ.48 (8)(4)</w:t>
      </w:r>
      <w:r w:rsidRPr="002665E5">
        <w:rPr>
          <w:rFonts w:ascii="Bookman Old Style" w:hAnsi="Bookman Old Style"/>
          <w:i/>
          <w:iCs/>
          <w:sz w:val="28"/>
          <w:szCs w:val="28"/>
          <w:lang w:val="el-GR"/>
        </w:rPr>
        <w:t xml:space="preserve"> για υποβολή αίτησης προς παραμερισμό ή τροποποίηση διαταγής που εκδίδεται </w:t>
      </w:r>
      <w:r w:rsidRPr="002665E5">
        <w:rPr>
          <w:rFonts w:ascii="Bookman Old Style" w:hAnsi="Bookman Old Style"/>
          <w:i/>
          <w:iCs/>
          <w:sz w:val="28"/>
          <w:szCs w:val="28"/>
          <w:lang w:val="en-US"/>
        </w:rPr>
        <w:t>ex</w:t>
      </w:r>
      <w:r w:rsidRPr="002665E5">
        <w:rPr>
          <w:rFonts w:ascii="Bookman Old Style" w:hAnsi="Bookman Old Style"/>
          <w:i/>
          <w:iCs/>
          <w:sz w:val="28"/>
          <w:szCs w:val="28"/>
          <w:lang w:val="el-GR"/>
        </w:rPr>
        <w:t xml:space="preserve"> </w:t>
      </w:r>
      <w:r w:rsidRPr="002665E5">
        <w:rPr>
          <w:rFonts w:ascii="Bookman Old Style" w:hAnsi="Bookman Old Style"/>
          <w:i/>
          <w:iCs/>
          <w:sz w:val="28"/>
          <w:szCs w:val="28"/>
          <w:lang w:val="en-US"/>
        </w:rPr>
        <w:t>parte</w:t>
      </w:r>
      <w:r w:rsidRPr="002665E5">
        <w:rPr>
          <w:rFonts w:ascii="Bookman Old Style" w:hAnsi="Bookman Old Style"/>
          <w:i/>
          <w:iCs/>
          <w:sz w:val="28"/>
          <w:szCs w:val="28"/>
          <w:lang w:val="el-GR"/>
        </w:rPr>
        <w:t xml:space="preserve">, καλύπτει μόνο τις περιπτώσεις κατά τις οποίες είναι δυνατή η έκδοση τέτοιας </w:t>
      </w:r>
      <w:r w:rsidRPr="002665E5">
        <w:rPr>
          <w:rFonts w:ascii="Bookman Old Style" w:hAnsi="Bookman Old Style"/>
          <w:i/>
          <w:iCs/>
          <w:sz w:val="28"/>
          <w:szCs w:val="28"/>
          <w:lang w:val="en-US"/>
        </w:rPr>
        <w:t>ex</w:t>
      </w:r>
      <w:r w:rsidRPr="002665E5">
        <w:rPr>
          <w:rFonts w:ascii="Bookman Old Style" w:hAnsi="Bookman Old Style"/>
          <w:i/>
          <w:iCs/>
          <w:sz w:val="28"/>
          <w:szCs w:val="28"/>
          <w:lang w:val="el-GR"/>
        </w:rPr>
        <w:t xml:space="preserve"> </w:t>
      </w:r>
      <w:r w:rsidRPr="002665E5">
        <w:rPr>
          <w:rFonts w:ascii="Bookman Old Style" w:hAnsi="Bookman Old Style"/>
          <w:i/>
          <w:iCs/>
          <w:sz w:val="28"/>
          <w:szCs w:val="28"/>
          <w:lang w:val="en-US"/>
        </w:rPr>
        <w:t>parte</w:t>
      </w:r>
      <w:r w:rsidRPr="002665E5">
        <w:rPr>
          <w:rFonts w:ascii="Bookman Old Style" w:hAnsi="Bookman Old Style"/>
          <w:i/>
          <w:iCs/>
          <w:sz w:val="28"/>
          <w:szCs w:val="28"/>
          <w:lang w:val="el-GR"/>
        </w:rPr>
        <w:t xml:space="preserve"> διαταγής</w:t>
      </w:r>
      <w:r>
        <w:rPr>
          <w:rFonts w:ascii="Bookman Old Style" w:hAnsi="Bookman Old Style"/>
          <w:sz w:val="28"/>
          <w:szCs w:val="28"/>
          <w:lang w:val="el-GR"/>
        </w:rPr>
        <w:t>»</w:t>
      </w:r>
      <w:r w:rsidR="00871CAA">
        <w:rPr>
          <w:rStyle w:val="FootnoteReference"/>
          <w:rFonts w:ascii="Bookman Old Style" w:hAnsi="Bookman Old Style"/>
          <w:sz w:val="28"/>
          <w:szCs w:val="28"/>
          <w:lang w:val="el-GR"/>
        </w:rPr>
        <w:footnoteReference w:id="3"/>
      </w:r>
      <w:r w:rsidR="00246435">
        <w:rPr>
          <w:rFonts w:ascii="Bookman Old Style" w:hAnsi="Bookman Old Style"/>
          <w:sz w:val="28"/>
          <w:szCs w:val="28"/>
          <w:lang w:val="el-GR"/>
        </w:rPr>
        <w:t>.</w:t>
      </w:r>
      <w:r w:rsidR="00871CAA">
        <w:rPr>
          <w:rFonts w:ascii="Bookman Old Style" w:hAnsi="Bookman Old Style"/>
          <w:sz w:val="28"/>
          <w:szCs w:val="28"/>
          <w:lang w:val="el-GR"/>
        </w:rPr>
        <w:t xml:space="preserve"> </w:t>
      </w:r>
    </w:p>
    <w:p w14:paraId="5EBB91A3" w14:textId="77777777" w:rsidR="009D6B47" w:rsidRPr="008518F5" w:rsidRDefault="009D6B47" w:rsidP="005B4561">
      <w:pPr>
        <w:spacing w:line="480" w:lineRule="auto"/>
        <w:ind w:right="-35"/>
        <w:jc w:val="both"/>
        <w:rPr>
          <w:rFonts w:ascii="Bookman Old Style" w:hAnsi="Bookman Old Style" w:cs="Arial"/>
          <w:sz w:val="28"/>
          <w:szCs w:val="28"/>
          <w:lang w:val="el-GR"/>
        </w:rPr>
      </w:pPr>
    </w:p>
    <w:p w14:paraId="5CCF128C" w14:textId="71F46A28" w:rsidR="002A631C" w:rsidRPr="00B31D02" w:rsidRDefault="00B30C8F"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Δεδομένης</w:t>
      </w:r>
      <w:r w:rsidR="00B31D02">
        <w:rPr>
          <w:rFonts w:ascii="Bookman Old Style" w:hAnsi="Bookman Old Style" w:cs="Arial"/>
          <w:sz w:val="28"/>
          <w:szCs w:val="28"/>
          <w:lang w:val="el-GR"/>
        </w:rPr>
        <w:t>,</w:t>
      </w:r>
      <w:r>
        <w:rPr>
          <w:rFonts w:ascii="Bookman Old Style" w:hAnsi="Bookman Old Style" w:cs="Arial"/>
          <w:sz w:val="28"/>
          <w:szCs w:val="28"/>
          <w:lang w:val="el-GR"/>
        </w:rPr>
        <w:t xml:space="preserve"> </w:t>
      </w:r>
      <w:r w:rsidR="00B31D02">
        <w:rPr>
          <w:rFonts w:ascii="Bookman Old Style" w:hAnsi="Bookman Old Style" w:cs="Arial"/>
          <w:sz w:val="28"/>
          <w:szCs w:val="28"/>
          <w:lang w:val="el-GR"/>
        </w:rPr>
        <w:t>δε, της κατάληξης του πρωτόδικου Δικαστηρίου ότι δεν μπορούσε να εκδοθεί το μονομερ</w:t>
      </w:r>
      <w:r w:rsidR="002B74A2">
        <w:rPr>
          <w:rFonts w:ascii="Bookman Old Style" w:hAnsi="Bookman Old Style" w:cs="Arial"/>
          <w:sz w:val="28"/>
          <w:szCs w:val="28"/>
          <w:lang w:val="el-GR"/>
        </w:rPr>
        <w:t>έ</w:t>
      </w:r>
      <w:r w:rsidR="00B31D02">
        <w:rPr>
          <w:rFonts w:ascii="Bookman Old Style" w:hAnsi="Bookman Old Style" w:cs="Arial"/>
          <w:sz w:val="28"/>
          <w:szCs w:val="28"/>
          <w:lang w:val="el-GR"/>
        </w:rPr>
        <w:t>ς Διάταγμα ημερ. 23/5/2022</w:t>
      </w:r>
      <w:r w:rsidR="005C3B80">
        <w:rPr>
          <w:rFonts w:ascii="Bookman Old Style" w:hAnsi="Bookman Old Style" w:cs="Arial"/>
          <w:sz w:val="28"/>
          <w:szCs w:val="28"/>
          <w:lang w:val="el-GR"/>
        </w:rPr>
        <w:t>,</w:t>
      </w:r>
      <w:r w:rsidR="00B31D02">
        <w:rPr>
          <w:rFonts w:ascii="Bookman Old Style" w:hAnsi="Bookman Old Style" w:cs="Arial"/>
          <w:sz w:val="28"/>
          <w:szCs w:val="28"/>
          <w:lang w:val="el-GR"/>
        </w:rPr>
        <w:t xml:space="preserve"> με την οποία συμφωνούμε, ορθά κρίθηκε, κατά συνεπακόλουθο τρόπο</w:t>
      </w:r>
      <w:r w:rsidR="002B74A2">
        <w:rPr>
          <w:rFonts w:ascii="Bookman Old Style" w:hAnsi="Bookman Old Style" w:cs="Arial"/>
          <w:sz w:val="28"/>
          <w:szCs w:val="28"/>
          <w:lang w:val="el-GR"/>
        </w:rPr>
        <w:t xml:space="preserve"> και με παραπομπή στην ως άνω νομολογία,</w:t>
      </w:r>
      <w:r w:rsidR="00B31D02">
        <w:rPr>
          <w:rFonts w:ascii="Bookman Old Style" w:hAnsi="Bookman Old Style" w:cs="Arial"/>
          <w:sz w:val="28"/>
          <w:szCs w:val="28"/>
          <w:lang w:val="el-GR"/>
        </w:rPr>
        <w:t xml:space="preserve"> ότι ένα τέτοιο διάταγμα δεν θα μπορούσε να έχει την έννοια του </w:t>
      </w:r>
      <w:r w:rsidR="00B31D02" w:rsidRPr="002665E5">
        <w:rPr>
          <w:rFonts w:ascii="Bookman Old Style" w:hAnsi="Bookman Old Style"/>
          <w:i/>
          <w:iCs/>
          <w:sz w:val="28"/>
          <w:szCs w:val="28"/>
          <w:lang w:val="en-US"/>
        </w:rPr>
        <w:t>ex</w:t>
      </w:r>
      <w:r w:rsidR="00B31D02" w:rsidRPr="002665E5">
        <w:rPr>
          <w:rFonts w:ascii="Bookman Old Style" w:hAnsi="Bookman Old Style"/>
          <w:i/>
          <w:iCs/>
          <w:sz w:val="28"/>
          <w:szCs w:val="28"/>
          <w:lang w:val="el-GR"/>
        </w:rPr>
        <w:t xml:space="preserve"> </w:t>
      </w:r>
      <w:r w:rsidR="00B31D02" w:rsidRPr="002665E5">
        <w:rPr>
          <w:rFonts w:ascii="Bookman Old Style" w:hAnsi="Bookman Old Style"/>
          <w:i/>
          <w:iCs/>
          <w:sz w:val="28"/>
          <w:szCs w:val="28"/>
          <w:lang w:val="en-US"/>
        </w:rPr>
        <w:t>parte</w:t>
      </w:r>
      <w:r w:rsidR="00B31D02">
        <w:rPr>
          <w:rFonts w:ascii="Bookman Old Style" w:hAnsi="Bookman Old Style"/>
          <w:i/>
          <w:iCs/>
          <w:sz w:val="28"/>
          <w:szCs w:val="28"/>
          <w:lang w:val="el-GR"/>
        </w:rPr>
        <w:t xml:space="preserve"> </w:t>
      </w:r>
      <w:r w:rsidR="00B31D02" w:rsidRPr="00B31D02">
        <w:rPr>
          <w:rFonts w:ascii="Bookman Old Style" w:hAnsi="Bookman Old Style"/>
          <w:sz w:val="28"/>
          <w:szCs w:val="28"/>
          <w:lang w:val="el-GR"/>
        </w:rPr>
        <w:t xml:space="preserve">διατάγματος το οποίο υπόκειται σε παραμερισμό στο πλαίσιο της </w:t>
      </w:r>
      <w:r w:rsidR="00B31D02" w:rsidRPr="006916A2">
        <w:rPr>
          <w:rFonts w:ascii="Bookman Old Style" w:hAnsi="Bookman Old Style" w:cs="Arial"/>
          <w:b/>
          <w:bCs/>
          <w:i/>
          <w:iCs/>
          <w:sz w:val="28"/>
          <w:szCs w:val="28"/>
          <w:lang w:val="el-GR"/>
        </w:rPr>
        <w:t>Δ. 48, θ. 8(4)</w:t>
      </w:r>
      <w:r w:rsidR="00B31D02">
        <w:rPr>
          <w:rFonts w:ascii="Bookman Old Style" w:hAnsi="Bookman Old Style" w:cs="Arial"/>
          <w:sz w:val="28"/>
          <w:szCs w:val="28"/>
          <w:lang w:val="el-GR"/>
        </w:rPr>
        <w:t>.</w:t>
      </w:r>
    </w:p>
    <w:p w14:paraId="0F077A20" w14:textId="77777777" w:rsidR="002A631C" w:rsidRPr="008518F5" w:rsidRDefault="002A631C" w:rsidP="005B4561">
      <w:pPr>
        <w:spacing w:line="480" w:lineRule="auto"/>
        <w:ind w:right="-35"/>
        <w:jc w:val="both"/>
        <w:rPr>
          <w:rFonts w:ascii="Bookman Old Style" w:hAnsi="Bookman Old Style" w:cs="Arial"/>
          <w:sz w:val="28"/>
          <w:szCs w:val="28"/>
          <w:lang w:val="el-GR"/>
        </w:rPr>
      </w:pPr>
    </w:p>
    <w:p w14:paraId="7D8D0456" w14:textId="01EC1C83" w:rsidR="008468D1" w:rsidRPr="008468D1" w:rsidRDefault="008468D1" w:rsidP="005B4561">
      <w:pPr>
        <w:spacing w:line="480" w:lineRule="auto"/>
        <w:ind w:right="-35"/>
        <w:jc w:val="both"/>
        <w:rPr>
          <w:rFonts w:ascii="Bookman Old Style" w:hAnsi="Bookman Old Style"/>
          <w:color w:val="000000"/>
          <w:sz w:val="28"/>
          <w:szCs w:val="28"/>
          <w:lang w:val="el-GR"/>
        </w:rPr>
      </w:pPr>
      <w:r w:rsidRPr="008468D1">
        <w:rPr>
          <w:rFonts w:ascii="Bookman Old Style" w:hAnsi="Bookman Old Style"/>
          <w:sz w:val="28"/>
          <w:szCs w:val="28"/>
          <w:lang w:val="el-GR"/>
        </w:rPr>
        <w:t>Υπό το πρίσμα των πιο πάνω αρχών και υπό το φως των δεδομένων που καλύπτουν την υπό κρίση περίπτωση</w:t>
      </w:r>
      <w:r>
        <w:rPr>
          <w:rFonts w:ascii="Bookman Old Style" w:hAnsi="Bookman Old Style"/>
          <w:sz w:val="28"/>
          <w:szCs w:val="28"/>
          <w:lang w:val="el-GR"/>
        </w:rPr>
        <w:t>,</w:t>
      </w:r>
      <w:r w:rsidRPr="008468D1">
        <w:rPr>
          <w:rFonts w:ascii="Bookman Old Style" w:hAnsi="Bookman Old Style"/>
          <w:color w:val="000000"/>
          <w:sz w:val="28"/>
          <w:szCs w:val="28"/>
          <w:lang w:val="el-GR"/>
        </w:rPr>
        <w:t xml:space="preserve"> ουδείς εκ των Λόγων Έφεσης είναι βάσιμος.</w:t>
      </w:r>
    </w:p>
    <w:p w14:paraId="371BB5FE" w14:textId="77777777" w:rsidR="006513A3" w:rsidRDefault="006513A3" w:rsidP="005B4561">
      <w:pPr>
        <w:spacing w:line="480" w:lineRule="auto"/>
        <w:ind w:right="-35"/>
        <w:jc w:val="both"/>
        <w:rPr>
          <w:rFonts w:ascii="Bookman Old Style" w:hAnsi="Bookman Old Style" w:cs="Arial"/>
          <w:sz w:val="28"/>
          <w:szCs w:val="28"/>
          <w:lang w:val="el-GR"/>
        </w:rPr>
      </w:pPr>
    </w:p>
    <w:p w14:paraId="324F299E" w14:textId="77777777" w:rsidR="00963281" w:rsidRPr="008468D1" w:rsidRDefault="00963281" w:rsidP="005B4561">
      <w:pPr>
        <w:spacing w:line="480" w:lineRule="auto"/>
        <w:ind w:right="-35"/>
        <w:jc w:val="both"/>
        <w:rPr>
          <w:rFonts w:ascii="Bookman Old Style" w:hAnsi="Bookman Old Style" w:cs="Arial"/>
          <w:sz w:val="28"/>
          <w:szCs w:val="28"/>
          <w:lang w:val="el-GR"/>
        </w:rPr>
      </w:pPr>
    </w:p>
    <w:p w14:paraId="510739B0" w14:textId="016B8DA4" w:rsidR="006513A3" w:rsidRPr="00963281" w:rsidRDefault="008468D1" w:rsidP="005B4561">
      <w:pPr>
        <w:spacing w:line="480" w:lineRule="auto"/>
        <w:ind w:right="-35"/>
        <w:jc w:val="both"/>
        <w:rPr>
          <w:rFonts w:ascii="Bookman Old Style" w:hAnsi="Bookman Old Style"/>
          <w:b/>
          <w:bCs/>
          <w:sz w:val="28"/>
          <w:szCs w:val="28"/>
          <w:lang w:val="el-GR"/>
        </w:rPr>
      </w:pPr>
      <w:r w:rsidRPr="00963281">
        <w:rPr>
          <w:rFonts w:ascii="Bookman Old Style" w:hAnsi="Bookman Old Style"/>
          <w:b/>
          <w:bCs/>
          <w:sz w:val="28"/>
          <w:szCs w:val="28"/>
          <w:lang w:val="el-GR"/>
        </w:rPr>
        <w:t>Η Έφεση απορρίπτεται.</w:t>
      </w:r>
      <w:r w:rsidR="00963281">
        <w:rPr>
          <w:rFonts w:ascii="Bookman Old Style" w:hAnsi="Bookman Old Style"/>
          <w:b/>
          <w:bCs/>
          <w:sz w:val="28"/>
          <w:szCs w:val="28"/>
          <w:lang w:val="el-GR"/>
        </w:rPr>
        <w:t xml:space="preserve"> Επιδικάζονται υπέρ των Εφεσιβλήτων έξοδα ύψους €2000</w:t>
      </w:r>
      <w:r w:rsidR="005C3B80">
        <w:rPr>
          <w:rFonts w:ascii="Bookman Old Style" w:hAnsi="Bookman Old Style"/>
          <w:b/>
          <w:bCs/>
          <w:sz w:val="28"/>
          <w:szCs w:val="28"/>
          <w:lang w:val="el-GR"/>
        </w:rPr>
        <w:t>,</w:t>
      </w:r>
      <w:r w:rsidR="00963281">
        <w:rPr>
          <w:rFonts w:ascii="Bookman Old Style" w:hAnsi="Bookman Old Style"/>
          <w:b/>
          <w:bCs/>
          <w:sz w:val="28"/>
          <w:szCs w:val="28"/>
          <w:lang w:val="el-GR"/>
        </w:rPr>
        <w:t xml:space="preserve"> πλέον ΦΠΑ, αν υπάρχει.</w:t>
      </w:r>
    </w:p>
    <w:p w14:paraId="071A4FAF" w14:textId="77777777" w:rsidR="008468D1" w:rsidRDefault="008468D1" w:rsidP="005B4561">
      <w:pPr>
        <w:spacing w:line="480" w:lineRule="auto"/>
        <w:ind w:right="-35"/>
        <w:jc w:val="both"/>
        <w:rPr>
          <w:rFonts w:ascii="Bookman Old Style" w:hAnsi="Bookman Old Style"/>
          <w:b/>
          <w:bCs/>
          <w:sz w:val="28"/>
          <w:szCs w:val="28"/>
          <w:lang w:val="el-GR"/>
        </w:rPr>
      </w:pPr>
    </w:p>
    <w:p w14:paraId="4C2B4F54" w14:textId="77777777" w:rsidR="008468D1" w:rsidRDefault="008468D1" w:rsidP="005B4561">
      <w:pPr>
        <w:spacing w:line="480" w:lineRule="auto"/>
        <w:ind w:right="-35"/>
        <w:jc w:val="both"/>
        <w:rPr>
          <w:rFonts w:ascii="Bookman Old Style" w:hAnsi="Bookman Old Style"/>
          <w:b/>
          <w:bCs/>
          <w:sz w:val="28"/>
          <w:szCs w:val="28"/>
          <w:lang w:val="el-GR"/>
        </w:rPr>
      </w:pPr>
    </w:p>
    <w:p w14:paraId="37582EA4" w14:textId="77777777" w:rsidR="005C3B80" w:rsidRPr="008468D1" w:rsidRDefault="005C3B80" w:rsidP="005B4561">
      <w:pPr>
        <w:spacing w:line="480" w:lineRule="auto"/>
        <w:ind w:right="-35"/>
        <w:jc w:val="both"/>
        <w:rPr>
          <w:rFonts w:ascii="Bookman Old Style" w:hAnsi="Bookman Old Style"/>
          <w:b/>
          <w:bCs/>
          <w:sz w:val="28"/>
          <w:szCs w:val="28"/>
          <w:lang w:val="el-GR"/>
        </w:rPr>
      </w:pPr>
    </w:p>
    <w:p w14:paraId="735125CE" w14:textId="77777777" w:rsidR="008468D1" w:rsidRPr="008468D1" w:rsidRDefault="008468D1" w:rsidP="005B4561">
      <w:pPr>
        <w:spacing w:line="480" w:lineRule="auto"/>
        <w:ind w:right="-35"/>
        <w:jc w:val="both"/>
        <w:rPr>
          <w:rFonts w:ascii="Bookman Old Style" w:hAnsi="Bookman Old Style" w:cs="Arial"/>
          <w:b/>
          <w:bCs/>
          <w:sz w:val="28"/>
          <w:szCs w:val="28"/>
          <w:lang w:val="el-GR"/>
        </w:rPr>
      </w:pPr>
    </w:p>
    <w:p w14:paraId="1CCB1F49" w14:textId="1CA4F778" w:rsidR="006A35A6" w:rsidRPr="008518F5" w:rsidRDefault="006A35A6" w:rsidP="002665E5">
      <w:pPr>
        <w:spacing w:line="72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2665E5">
        <w:rPr>
          <w:rFonts w:ascii="Bookman Old Style" w:hAnsi="Bookman Old Style" w:cs="Arial"/>
          <w:b/>
          <w:sz w:val="28"/>
          <w:szCs w:val="28"/>
          <w:lang w:val="el-GR"/>
        </w:rPr>
        <w:t xml:space="preserve">        </w:t>
      </w:r>
      <w:r w:rsidR="00397480">
        <w:rPr>
          <w:rFonts w:ascii="Bookman Old Style" w:hAnsi="Bookman Old Style" w:cs="Arial"/>
          <w:b/>
          <w:sz w:val="28"/>
          <w:szCs w:val="28"/>
          <w:lang w:val="el-GR"/>
        </w:rPr>
        <w:t>Γ.Ν. 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Δ.</w:t>
      </w:r>
    </w:p>
    <w:p w14:paraId="634581FA" w14:textId="77777777" w:rsidR="005C3B80" w:rsidRDefault="005C3B80" w:rsidP="002665E5">
      <w:pPr>
        <w:spacing w:line="720" w:lineRule="auto"/>
        <w:ind w:right="-35"/>
        <w:jc w:val="both"/>
        <w:rPr>
          <w:rFonts w:ascii="Bookman Old Style" w:hAnsi="Bookman Old Style" w:cs="Arial"/>
          <w:b/>
          <w:sz w:val="28"/>
          <w:szCs w:val="28"/>
          <w:lang w:val="el-GR"/>
        </w:rPr>
      </w:pPr>
    </w:p>
    <w:p w14:paraId="750B3ED7" w14:textId="77777777" w:rsidR="005C3B80" w:rsidRDefault="005C3B80" w:rsidP="002665E5">
      <w:pPr>
        <w:spacing w:line="720" w:lineRule="auto"/>
        <w:ind w:right="-35"/>
        <w:jc w:val="both"/>
        <w:rPr>
          <w:rFonts w:ascii="Bookman Old Style" w:hAnsi="Bookman Old Style" w:cs="Arial"/>
          <w:b/>
          <w:sz w:val="28"/>
          <w:szCs w:val="28"/>
          <w:lang w:val="el-GR"/>
        </w:rPr>
      </w:pPr>
    </w:p>
    <w:p w14:paraId="2AE8CD50" w14:textId="7C982D35" w:rsidR="006A35A6" w:rsidRDefault="00422938" w:rsidP="002665E5">
      <w:pPr>
        <w:spacing w:line="72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235346C3" w14:textId="77777777" w:rsidR="005C3B80" w:rsidRDefault="005C3B80" w:rsidP="002665E5">
      <w:pPr>
        <w:spacing w:line="720" w:lineRule="auto"/>
        <w:ind w:right="-35"/>
        <w:jc w:val="both"/>
        <w:rPr>
          <w:rFonts w:ascii="Bookman Old Style" w:hAnsi="Bookman Old Style" w:cs="Arial"/>
          <w:b/>
          <w:sz w:val="28"/>
          <w:szCs w:val="28"/>
          <w:lang w:val="el-GR"/>
        </w:rPr>
      </w:pPr>
    </w:p>
    <w:p w14:paraId="25852EEA" w14:textId="77777777" w:rsidR="005C3B80" w:rsidRDefault="005C3B80" w:rsidP="002665E5">
      <w:pPr>
        <w:spacing w:line="720" w:lineRule="auto"/>
        <w:ind w:right="-35"/>
        <w:jc w:val="both"/>
        <w:rPr>
          <w:rFonts w:ascii="Bookman Old Style" w:hAnsi="Bookman Old Style" w:cs="Arial"/>
          <w:b/>
          <w:sz w:val="28"/>
          <w:szCs w:val="28"/>
          <w:lang w:val="el-GR"/>
        </w:rPr>
      </w:pPr>
    </w:p>
    <w:p w14:paraId="34BBB738" w14:textId="4CCE6854" w:rsidR="00397480" w:rsidRDefault="00397480" w:rsidP="002665E5">
      <w:pPr>
        <w:spacing w:line="72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t>Α. ΔΑΥΙΔ, Δ.</w:t>
      </w:r>
    </w:p>
    <w:sectPr w:rsidR="00397480" w:rsidSect="00266CD9">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F7502" w14:textId="77777777" w:rsidR="00E31FB9" w:rsidRDefault="00E31FB9" w:rsidP="00B43113">
      <w:r>
        <w:separator/>
      </w:r>
    </w:p>
  </w:endnote>
  <w:endnote w:type="continuationSeparator" w:id="0">
    <w:p w14:paraId="1CA3A53F" w14:textId="77777777" w:rsidR="00E31FB9" w:rsidRDefault="00E31FB9"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2EF28" w14:textId="77777777" w:rsidR="00E31FB9" w:rsidRDefault="00E31FB9" w:rsidP="00B43113">
      <w:r>
        <w:separator/>
      </w:r>
    </w:p>
  </w:footnote>
  <w:footnote w:type="continuationSeparator" w:id="0">
    <w:p w14:paraId="58031351" w14:textId="77777777" w:rsidR="00E31FB9" w:rsidRDefault="00E31FB9" w:rsidP="00B43113">
      <w:r>
        <w:continuationSeparator/>
      </w:r>
    </w:p>
  </w:footnote>
  <w:footnote w:id="1">
    <w:p w14:paraId="072F1E8D" w14:textId="4D32F0B1" w:rsidR="00963281" w:rsidRPr="00195FCD" w:rsidRDefault="00963281" w:rsidP="00963281">
      <w:pPr>
        <w:pStyle w:val="FootnoteText"/>
        <w:spacing w:line="276" w:lineRule="auto"/>
        <w:jc w:val="both"/>
        <w:rPr>
          <w:rFonts w:ascii="Bookman Old Style" w:hAnsi="Bookman Old Style"/>
          <w:sz w:val="22"/>
          <w:szCs w:val="22"/>
          <w:lang w:val="en-US"/>
        </w:rPr>
      </w:pPr>
      <w:r>
        <w:rPr>
          <w:rStyle w:val="FootnoteReference"/>
        </w:rPr>
        <w:footnoteRef/>
      </w:r>
      <w:r>
        <w:t xml:space="preserve"> </w:t>
      </w:r>
      <w:r w:rsidRPr="00963281">
        <w:rPr>
          <w:rFonts w:ascii="Bookman Old Style" w:hAnsi="Bookman Old Style"/>
          <w:sz w:val="22"/>
          <w:szCs w:val="22"/>
          <w:lang w:val="el-GR"/>
        </w:rPr>
        <w:t>Δέστε</w:t>
      </w:r>
      <w:r w:rsidRPr="00963281">
        <w:rPr>
          <w:rFonts w:ascii="Bookman Old Style" w:hAnsi="Bookman Old Style"/>
          <w:sz w:val="22"/>
          <w:szCs w:val="22"/>
          <w:lang w:val="en-US"/>
        </w:rPr>
        <w:t xml:space="preserve"> </w:t>
      </w:r>
      <w:r w:rsidRPr="00963281">
        <w:rPr>
          <w:rFonts w:ascii="Bookman Old Style" w:hAnsi="Bookman Old Style"/>
          <w:b/>
          <w:bCs/>
          <w:i/>
          <w:iCs/>
          <w:sz w:val="22"/>
          <w:szCs w:val="22"/>
          <w:lang w:val="el-GR"/>
        </w:rPr>
        <w:t>Δ</w:t>
      </w:r>
      <w:r w:rsidRPr="00963281">
        <w:rPr>
          <w:rFonts w:ascii="Bookman Old Style" w:hAnsi="Bookman Old Style"/>
          <w:b/>
          <w:bCs/>
          <w:i/>
          <w:iCs/>
          <w:sz w:val="22"/>
          <w:szCs w:val="22"/>
          <w:lang w:val="en-US"/>
        </w:rPr>
        <w:t xml:space="preserve">.35, </w:t>
      </w:r>
      <w:r w:rsidRPr="00963281">
        <w:rPr>
          <w:rFonts w:ascii="Bookman Old Style" w:hAnsi="Bookman Old Style"/>
          <w:b/>
          <w:bCs/>
          <w:i/>
          <w:iCs/>
          <w:sz w:val="22"/>
          <w:szCs w:val="22"/>
          <w:lang w:val="el-GR"/>
        </w:rPr>
        <w:t>θ</w:t>
      </w:r>
      <w:r w:rsidRPr="00195FCD">
        <w:rPr>
          <w:rFonts w:ascii="Bookman Old Style" w:hAnsi="Bookman Old Style"/>
          <w:b/>
          <w:bCs/>
          <w:i/>
          <w:iCs/>
          <w:sz w:val="22"/>
          <w:szCs w:val="22"/>
          <w:lang w:val="en-US"/>
        </w:rPr>
        <w:t>.4</w:t>
      </w:r>
      <w:r w:rsidRPr="00195FCD">
        <w:rPr>
          <w:rFonts w:ascii="Bookman Old Style" w:hAnsi="Bookman Old Style"/>
          <w:sz w:val="22"/>
          <w:szCs w:val="22"/>
          <w:lang w:val="en-US"/>
        </w:rPr>
        <w:t>:</w:t>
      </w:r>
    </w:p>
    <w:p w14:paraId="6253F253" w14:textId="77777777" w:rsidR="00963281" w:rsidRPr="00195FCD" w:rsidRDefault="00963281" w:rsidP="00963281">
      <w:pPr>
        <w:pStyle w:val="FootnoteText"/>
        <w:spacing w:line="276" w:lineRule="auto"/>
        <w:jc w:val="both"/>
        <w:rPr>
          <w:rFonts w:ascii="Bookman Old Style" w:hAnsi="Bookman Old Style"/>
          <w:sz w:val="22"/>
          <w:szCs w:val="22"/>
          <w:lang w:val="en-US"/>
        </w:rPr>
      </w:pPr>
    </w:p>
    <w:p w14:paraId="18614BAB" w14:textId="79F76191" w:rsidR="00963281" w:rsidRPr="00195FCD" w:rsidRDefault="00963281" w:rsidP="00963281">
      <w:pPr>
        <w:pStyle w:val="FootnoteText"/>
        <w:spacing w:line="276" w:lineRule="auto"/>
        <w:jc w:val="both"/>
        <w:rPr>
          <w:rFonts w:ascii="Bookman Old Style" w:hAnsi="Bookman Old Style"/>
          <w:sz w:val="22"/>
          <w:szCs w:val="22"/>
          <w:lang w:val="en-US"/>
        </w:rPr>
      </w:pPr>
      <w:r w:rsidRPr="00963281">
        <w:rPr>
          <w:rFonts w:ascii="Bookman Old Style" w:hAnsi="Bookman Old Style"/>
          <w:b/>
          <w:bCs/>
          <w:sz w:val="22"/>
          <w:szCs w:val="22"/>
        </w:rPr>
        <w:t>4.</w:t>
      </w:r>
      <w:r w:rsidRPr="00963281">
        <w:rPr>
          <w:rFonts w:ascii="Bookman Old Style" w:hAnsi="Bookman Old Style"/>
          <w:sz w:val="22"/>
          <w:szCs w:val="22"/>
        </w:rPr>
        <w:t xml:space="preserve">  </w:t>
      </w:r>
      <w:r w:rsidRPr="00963281">
        <w:rPr>
          <w:rFonts w:ascii="Bookman Old Style" w:hAnsi="Bookman Old Style"/>
          <w:i/>
          <w:iCs/>
          <w:sz w:val="22"/>
          <w:szCs w:val="22"/>
        </w:rPr>
        <w:t xml:space="preserve">The appellant may, by his notice, appeal from the whole or any part of any judgment or order, and the notice shall state whether the whole or part only of the judgment or order is complained of, and in the latter case shall specify such part. The notice shall also state all the grounds of appeal and set forth fully the reasons relied upon for the grounds stated. </w:t>
      </w:r>
      <w:r w:rsidRPr="00963281">
        <w:rPr>
          <w:rFonts w:ascii="Bookman Old Style" w:hAnsi="Bookman Old Style"/>
          <w:i/>
          <w:iCs/>
          <w:sz w:val="22"/>
          <w:szCs w:val="22"/>
          <w:lang w:val="el-GR"/>
        </w:rPr>
        <w:t xml:space="preserve">Κάθε λόγος έφεσης θα καταγράφεται σε ξεχωριστή παράγραφο. Μετά από κάθε λόγο έφεσης θα καταγράφεται ξεχωριστά η αιτιολογία του. </w:t>
      </w:r>
      <w:r w:rsidRPr="00963281">
        <w:rPr>
          <w:rFonts w:ascii="Bookman Old Style" w:hAnsi="Bookman Old Style"/>
          <w:i/>
          <w:iCs/>
          <w:sz w:val="22"/>
          <w:szCs w:val="22"/>
        </w:rPr>
        <w:t>Any notice of appeal may be amended at any time as the Court of Appeal may think fit</w:t>
      </w:r>
      <w:r w:rsidRPr="00963281">
        <w:rPr>
          <w:rFonts w:ascii="Bookman Old Style" w:hAnsi="Bookman Old Style"/>
          <w:sz w:val="22"/>
          <w:szCs w:val="22"/>
        </w:rPr>
        <w:t>.</w:t>
      </w:r>
    </w:p>
    <w:p w14:paraId="06D6740B" w14:textId="77777777" w:rsidR="00963281" w:rsidRPr="00195FCD" w:rsidRDefault="00963281" w:rsidP="00963281">
      <w:pPr>
        <w:pStyle w:val="FootnoteText"/>
        <w:spacing w:line="276" w:lineRule="auto"/>
        <w:jc w:val="both"/>
        <w:rPr>
          <w:rFonts w:ascii="Bookman Old Style" w:hAnsi="Bookman Old Style"/>
          <w:sz w:val="22"/>
          <w:szCs w:val="22"/>
          <w:lang w:val="en-US"/>
        </w:rPr>
      </w:pPr>
    </w:p>
    <w:p w14:paraId="17CC7888" w14:textId="4296B2F7" w:rsidR="00963281" w:rsidRPr="00195FCD" w:rsidRDefault="00963281" w:rsidP="005724FC">
      <w:pPr>
        <w:pStyle w:val="FootnoteText"/>
        <w:spacing w:line="276" w:lineRule="auto"/>
        <w:jc w:val="both"/>
        <w:rPr>
          <w:rFonts w:ascii="Bookman Old Style" w:hAnsi="Bookman Old Style"/>
          <w:sz w:val="22"/>
          <w:szCs w:val="22"/>
          <w:lang w:val="en-US"/>
        </w:rPr>
      </w:pPr>
      <w:r w:rsidRPr="005724FC">
        <w:rPr>
          <w:rFonts w:ascii="Bookman Old Style" w:hAnsi="Bookman Old Style" w:cs="Arial"/>
          <w:sz w:val="22"/>
          <w:szCs w:val="22"/>
          <w:lang w:val="el-GR"/>
        </w:rPr>
        <w:t xml:space="preserve">Όπως είναι δε πάγια νομολογημένο, συστατικά στοιχεία του λόγου έφεσης είναι </w:t>
      </w:r>
      <w:r w:rsidRPr="005724FC">
        <w:rPr>
          <w:rFonts w:ascii="Bookman Old Style" w:hAnsi="Bookman Old Style" w:cs="Arial"/>
          <w:b/>
          <w:bCs/>
          <w:sz w:val="22"/>
          <w:szCs w:val="22"/>
          <w:lang w:val="el-GR"/>
        </w:rPr>
        <w:t>η βάση της έφεσης</w:t>
      </w:r>
      <w:r w:rsidRPr="005724FC">
        <w:rPr>
          <w:rFonts w:ascii="Bookman Old Style" w:hAnsi="Bookman Old Style" w:cs="Arial"/>
          <w:sz w:val="22"/>
          <w:szCs w:val="22"/>
          <w:lang w:val="el-GR"/>
        </w:rPr>
        <w:t xml:space="preserve"> η οποία συνίσταται από τον προσδιορισμό των λόγων που καθιστούν την εκκαλούμενη απόφαση τρωτή και </w:t>
      </w:r>
      <w:r w:rsidRPr="005724FC">
        <w:rPr>
          <w:rFonts w:ascii="Bookman Old Style" w:hAnsi="Bookman Old Style" w:cs="Arial"/>
          <w:b/>
          <w:bCs/>
          <w:sz w:val="22"/>
          <w:szCs w:val="22"/>
          <w:lang w:val="el-GR"/>
        </w:rPr>
        <w:t>η αιτιολογία</w:t>
      </w:r>
      <w:r w:rsidRPr="005724FC">
        <w:rPr>
          <w:rFonts w:ascii="Bookman Old Style" w:hAnsi="Bookman Old Style" w:cs="Arial"/>
          <w:sz w:val="22"/>
          <w:szCs w:val="22"/>
          <w:lang w:val="el-GR"/>
        </w:rPr>
        <w:t xml:space="preserve"> που υποστυλώνει τη βάση της έφεσης</w:t>
      </w:r>
      <w:r w:rsidR="005724FC" w:rsidRPr="005724FC">
        <w:rPr>
          <w:rFonts w:ascii="Bookman Old Style" w:hAnsi="Bookman Old Style" w:cs="Arial"/>
          <w:sz w:val="22"/>
          <w:szCs w:val="22"/>
          <w:lang w:val="el-GR"/>
        </w:rPr>
        <w:t xml:space="preserve"> (</w:t>
      </w:r>
      <w:r w:rsidR="005724FC" w:rsidRPr="005724FC">
        <w:rPr>
          <w:rFonts w:ascii="Bookman Old Style" w:hAnsi="Bookman Old Style" w:cs="Arial"/>
          <w:b/>
          <w:bCs/>
          <w:i/>
          <w:iCs/>
          <w:sz w:val="22"/>
          <w:szCs w:val="22"/>
          <w:lang w:val="el-GR"/>
        </w:rPr>
        <w:t>Φαίδωνας Χριστοδούλου ν. Χρίστου Μεταξάκη</w:t>
      </w:r>
      <w:r w:rsidR="00754DD0">
        <w:rPr>
          <w:rFonts w:ascii="Bookman Old Style" w:hAnsi="Bookman Old Style" w:cs="Arial"/>
          <w:b/>
          <w:bCs/>
          <w:i/>
          <w:iCs/>
          <w:sz w:val="22"/>
          <w:szCs w:val="22"/>
          <w:lang w:val="el-GR"/>
        </w:rPr>
        <w:t xml:space="preserve"> (1997) 1 Α.Α.Δ. 1002, </w:t>
      </w:r>
      <w:r w:rsidR="005724FC" w:rsidRPr="005724FC">
        <w:rPr>
          <w:rFonts w:ascii="Bookman Old Style" w:hAnsi="Bookman Old Style" w:cs="Arial"/>
          <w:b/>
          <w:bCs/>
          <w:i/>
          <w:iCs/>
          <w:sz w:val="22"/>
          <w:szCs w:val="22"/>
          <w:lang w:val="el-GR"/>
        </w:rPr>
        <w:t>Μυριάνθη</w:t>
      </w:r>
      <w:r w:rsidR="005724FC" w:rsidRPr="00754DD0">
        <w:rPr>
          <w:rFonts w:ascii="Bookman Old Style" w:hAnsi="Bookman Old Style" w:cs="Arial"/>
          <w:b/>
          <w:bCs/>
          <w:i/>
          <w:iCs/>
          <w:sz w:val="22"/>
          <w:szCs w:val="22"/>
          <w:lang w:val="el-GR"/>
        </w:rPr>
        <w:t xml:space="preserve"> </w:t>
      </w:r>
      <w:r w:rsidR="005724FC" w:rsidRPr="005724FC">
        <w:rPr>
          <w:rFonts w:ascii="Bookman Old Style" w:hAnsi="Bookman Old Style" w:cs="Arial"/>
          <w:b/>
          <w:bCs/>
          <w:i/>
          <w:iCs/>
          <w:sz w:val="22"/>
          <w:szCs w:val="22"/>
          <w:lang w:val="el-GR"/>
        </w:rPr>
        <w:t>Παναγιώτη</w:t>
      </w:r>
      <w:r w:rsidR="005724FC" w:rsidRPr="00754DD0">
        <w:rPr>
          <w:rFonts w:ascii="Bookman Old Style" w:hAnsi="Bookman Old Style" w:cs="Arial"/>
          <w:b/>
          <w:bCs/>
          <w:i/>
          <w:iCs/>
          <w:sz w:val="22"/>
          <w:szCs w:val="22"/>
          <w:lang w:val="el-GR"/>
        </w:rPr>
        <w:t xml:space="preserve"> </w:t>
      </w:r>
      <w:r w:rsidR="005724FC" w:rsidRPr="005724FC">
        <w:rPr>
          <w:rFonts w:ascii="Bookman Old Style" w:hAnsi="Bookman Old Style" w:cs="Arial"/>
          <w:b/>
          <w:bCs/>
          <w:i/>
          <w:iCs/>
          <w:sz w:val="22"/>
          <w:szCs w:val="22"/>
          <w:lang w:val="el-GR"/>
        </w:rPr>
        <w:t>Προκοπίου</w:t>
      </w:r>
      <w:r w:rsidR="005724FC" w:rsidRPr="00754DD0">
        <w:rPr>
          <w:rFonts w:ascii="Bookman Old Style" w:hAnsi="Bookman Old Style" w:cs="Arial"/>
          <w:b/>
          <w:bCs/>
          <w:i/>
          <w:iCs/>
          <w:sz w:val="22"/>
          <w:szCs w:val="22"/>
          <w:lang w:val="el-GR"/>
        </w:rPr>
        <w:t xml:space="preserve"> </w:t>
      </w:r>
      <w:r w:rsidR="005724FC" w:rsidRPr="005724FC">
        <w:rPr>
          <w:rFonts w:ascii="Bookman Old Style" w:hAnsi="Bookman Old Style" w:cs="Arial"/>
          <w:b/>
          <w:bCs/>
          <w:i/>
          <w:iCs/>
          <w:sz w:val="22"/>
          <w:szCs w:val="22"/>
          <w:lang w:val="el-GR"/>
        </w:rPr>
        <w:t>ν</w:t>
      </w:r>
      <w:r w:rsidR="005724FC" w:rsidRPr="00754DD0">
        <w:rPr>
          <w:rFonts w:ascii="Bookman Old Style" w:hAnsi="Bookman Old Style" w:cs="Arial"/>
          <w:b/>
          <w:bCs/>
          <w:i/>
          <w:iCs/>
          <w:sz w:val="22"/>
          <w:szCs w:val="22"/>
          <w:lang w:val="el-GR"/>
        </w:rPr>
        <w:t xml:space="preserve">. </w:t>
      </w:r>
      <w:r w:rsidR="005724FC" w:rsidRPr="005724FC">
        <w:rPr>
          <w:rFonts w:ascii="Bookman Old Style" w:hAnsi="Bookman Old Style" w:cs="Arial"/>
          <w:b/>
          <w:bCs/>
          <w:i/>
          <w:iCs/>
          <w:sz w:val="22"/>
          <w:szCs w:val="22"/>
          <w:lang w:val="en-US"/>
        </w:rPr>
        <w:t>Jacquelin</w:t>
      </w:r>
      <w:r w:rsidR="005724FC" w:rsidRPr="00754DD0">
        <w:rPr>
          <w:rFonts w:ascii="Bookman Old Style" w:hAnsi="Bookman Old Style" w:cs="Arial"/>
          <w:b/>
          <w:bCs/>
          <w:i/>
          <w:iCs/>
          <w:sz w:val="22"/>
          <w:szCs w:val="22"/>
          <w:lang w:val="el-GR"/>
        </w:rPr>
        <w:t xml:space="preserve"> </w:t>
      </w:r>
      <w:r w:rsidR="005724FC" w:rsidRPr="005724FC">
        <w:rPr>
          <w:rFonts w:ascii="Bookman Old Style" w:hAnsi="Bookman Old Style" w:cs="Arial"/>
          <w:b/>
          <w:bCs/>
          <w:i/>
          <w:iCs/>
          <w:sz w:val="22"/>
          <w:szCs w:val="22"/>
          <w:lang w:val="en-US"/>
        </w:rPr>
        <w:t>Lesley</w:t>
      </w:r>
      <w:r w:rsidR="005724FC" w:rsidRPr="00754DD0">
        <w:rPr>
          <w:rFonts w:ascii="Bookman Old Style" w:hAnsi="Bookman Old Style" w:cs="Arial"/>
          <w:b/>
          <w:bCs/>
          <w:i/>
          <w:iCs/>
          <w:sz w:val="22"/>
          <w:szCs w:val="22"/>
          <w:lang w:val="el-GR"/>
        </w:rPr>
        <w:t xml:space="preserve"> </w:t>
      </w:r>
      <w:r w:rsidR="005724FC" w:rsidRPr="005724FC">
        <w:rPr>
          <w:rFonts w:ascii="Bookman Old Style" w:hAnsi="Bookman Old Style" w:cs="Arial"/>
          <w:b/>
          <w:bCs/>
          <w:i/>
          <w:iCs/>
          <w:sz w:val="22"/>
          <w:szCs w:val="22"/>
          <w:lang w:val="en-US"/>
        </w:rPr>
        <w:t>Ryan</w:t>
      </w:r>
      <w:r w:rsidR="005724FC" w:rsidRPr="00754DD0">
        <w:rPr>
          <w:rFonts w:ascii="Bookman Old Style" w:hAnsi="Bookman Old Style" w:cs="Arial"/>
          <w:b/>
          <w:bCs/>
          <w:i/>
          <w:iCs/>
          <w:sz w:val="22"/>
          <w:szCs w:val="22"/>
          <w:lang w:val="el-GR"/>
        </w:rPr>
        <w:t xml:space="preserve"> </w:t>
      </w:r>
      <w:r w:rsidR="005724FC" w:rsidRPr="005724FC">
        <w:rPr>
          <w:rFonts w:ascii="Bookman Old Style" w:hAnsi="Bookman Old Style" w:cs="Arial"/>
          <w:b/>
          <w:bCs/>
          <w:i/>
          <w:iCs/>
          <w:sz w:val="22"/>
          <w:szCs w:val="22"/>
          <w:lang w:val="el-GR"/>
        </w:rPr>
        <w:t>κ</w:t>
      </w:r>
      <w:r w:rsidR="005724FC" w:rsidRPr="00754DD0">
        <w:rPr>
          <w:rFonts w:ascii="Bookman Old Style" w:hAnsi="Bookman Old Style" w:cs="Arial"/>
          <w:b/>
          <w:bCs/>
          <w:i/>
          <w:iCs/>
          <w:sz w:val="22"/>
          <w:szCs w:val="22"/>
          <w:lang w:val="el-GR"/>
        </w:rPr>
        <w:t>.</w:t>
      </w:r>
      <w:r w:rsidR="005724FC" w:rsidRPr="005724FC">
        <w:rPr>
          <w:rFonts w:ascii="Bookman Old Style" w:hAnsi="Bookman Old Style" w:cs="Arial"/>
          <w:b/>
          <w:bCs/>
          <w:i/>
          <w:iCs/>
          <w:sz w:val="22"/>
          <w:szCs w:val="22"/>
          <w:lang w:val="el-GR"/>
        </w:rPr>
        <w:t>ά</w:t>
      </w:r>
      <w:r w:rsidR="005724FC" w:rsidRPr="00754DD0">
        <w:rPr>
          <w:rFonts w:ascii="Bookman Old Style" w:hAnsi="Bookman Old Style" w:cs="Arial"/>
          <w:b/>
          <w:bCs/>
          <w:i/>
          <w:iCs/>
          <w:sz w:val="22"/>
          <w:szCs w:val="22"/>
          <w:lang w:val="el-GR"/>
        </w:rPr>
        <w:t>.</w:t>
      </w:r>
      <w:r w:rsidR="006632E5">
        <w:rPr>
          <w:rFonts w:ascii="Bookman Old Style" w:hAnsi="Bookman Old Style" w:cs="Arial"/>
          <w:b/>
          <w:bCs/>
          <w:i/>
          <w:iCs/>
          <w:sz w:val="22"/>
          <w:szCs w:val="22"/>
          <w:lang w:val="el-GR"/>
        </w:rPr>
        <w:t xml:space="preserve"> (2012) 1 Α.Α.Δ. 1982 </w:t>
      </w:r>
      <w:r w:rsidR="005724FC" w:rsidRPr="005724FC">
        <w:rPr>
          <w:rFonts w:ascii="Bookman Old Style" w:hAnsi="Bookman Old Style"/>
          <w:sz w:val="22"/>
          <w:szCs w:val="22"/>
          <w:lang w:val="el-GR"/>
        </w:rPr>
        <w:t>και</w:t>
      </w:r>
      <w:r w:rsidR="005724FC" w:rsidRPr="006632E5">
        <w:rPr>
          <w:rFonts w:ascii="Bookman Old Style" w:hAnsi="Bookman Old Style"/>
          <w:sz w:val="22"/>
          <w:szCs w:val="22"/>
          <w:lang w:val="el-GR"/>
        </w:rPr>
        <w:t xml:space="preserve"> </w:t>
      </w:r>
      <w:r w:rsidR="005724FC" w:rsidRPr="005724FC">
        <w:rPr>
          <w:rFonts w:ascii="Bookman Old Style" w:hAnsi="Bookman Old Style" w:cs="Arial"/>
          <w:b/>
          <w:bCs/>
          <w:i/>
          <w:iCs/>
          <w:sz w:val="22"/>
          <w:szCs w:val="22"/>
          <w:lang w:val="en-US"/>
        </w:rPr>
        <w:t>Cyprus</w:t>
      </w:r>
      <w:r w:rsidR="005724FC" w:rsidRPr="006632E5">
        <w:rPr>
          <w:rFonts w:ascii="Bookman Old Style" w:hAnsi="Bookman Old Style" w:cs="Arial"/>
          <w:b/>
          <w:bCs/>
          <w:i/>
          <w:iCs/>
          <w:sz w:val="22"/>
          <w:szCs w:val="22"/>
          <w:lang w:val="el-GR"/>
        </w:rPr>
        <w:t xml:space="preserve"> </w:t>
      </w:r>
      <w:r w:rsidR="005724FC" w:rsidRPr="005724FC">
        <w:rPr>
          <w:rFonts w:ascii="Bookman Old Style" w:hAnsi="Bookman Old Style" w:cs="Arial"/>
          <w:b/>
          <w:bCs/>
          <w:i/>
          <w:iCs/>
          <w:sz w:val="22"/>
          <w:szCs w:val="22"/>
          <w:lang w:val="en-US"/>
        </w:rPr>
        <w:t>Import</w:t>
      </w:r>
      <w:r w:rsidR="005724FC" w:rsidRPr="006632E5">
        <w:rPr>
          <w:rFonts w:ascii="Bookman Old Style" w:hAnsi="Bookman Old Style" w:cs="Arial"/>
          <w:b/>
          <w:bCs/>
          <w:i/>
          <w:iCs/>
          <w:sz w:val="22"/>
          <w:szCs w:val="22"/>
          <w:lang w:val="el-GR"/>
        </w:rPr>
        <w:t xml:space="preserve"> </w:t>
      </w:r>
      <w:r w:rsidR="005724FC" w:rsidRPr="005724FC">
        <w:rPr>
          <w:rFonts w:ascii="Bookman Old Style" w:hAnsi="Bookman Old Style" w:cs="Arial"/>
          <w:b/>
          <w:bCs/>
          <w:i/>
          <w:iCs/>
          <w:sz w:val="22"/>
          <w:szCs w:val="22"/>
          <w:lang w:val="en-US"/>
        </w:rPr>
        <w:t>Corporation</w:t>
      </w:r>
      <w:r w:rsidR="005724FC" w:rsidRPr="006632E5">
        <w:rPr>
          <w:rFonts w:ascii="Bookman Old Style" w:hAnsi="Bookman Old Style" w:cs="Arial"/>
          <w:b/>
          <w:bCs/>
          <w:i/>
          <w:iCs/>
          <w:sz w:val="22"/>
          <w:szCs w:val="22"/>
          <w:lang w:val="el-GR"/>
        </w:rPr>
        <w:t xml:space="preserve"> </w:t>
      </w:r>
      <w:r w:rsidR="005724FC" w:rsidRPr="005724FC">
        <w:rPr>
          <w:rFonts w:ascii="Bookman Old Style" w:hAnsi="Bookman Old Style" w:cs="Arial"/>
          <w:b/>
          <w:bCs/>
          <w:i/>
          <w:iCs/>
          <w:sz w:val="22"/>
          <w:szCs w:val="22"/>
          <w:lang w:val="en-US"/>
        </w:rPr>
        <w:t>Ltd</w:t>
      </w:r>
      <w:r w:rsidR="005724FC" w:rsidRPr="006632E5">
        <w:rPr>
          <w:rFonts w:ascii="Bookman Old Style" w:hAnsi="Bookman Old Style" w:cs="Arial"/>
          <w:b/>
          <w:bCs/>
          <w:i/>
          <w:iCs/>
          <w:sz w:val="22"/>
          <w:szCs w:val="22"/>
          <w:lang w:val="el-GR"/>
        </w:rPr>
        <w:t xml:space="preserve"> </w:t>
      </w:r>
      <w:r w:rsidR="005724FC" w:rsidRPr="005724FC">
        <w:rPr>
          <w:rFonts w:ascii="Bookman Old Style" w:hAnsi="Bookman Old Style" w:cs="Arial"/>
          <w:b/>
          <w:bCs/>
          <w:i/>
          <w:iCs/>
          <w:sz w:val="22"/>
          <w:szCs w:val="22"/>
          <w:lang w:val="en-US"/>
        </w:rPr>
        <w:t>v</w:t>
      </w:r>
      <w:r w:rsidR="005724FC" w:rsidRPr="006632E5">
        <w:rPr>
          <w:rFonts w:ascii="Bookman Old Style" w:hAnsi="Bookman Old Style" w:cs="Arial"/>
          <w:b/>
          <w:bCs/>
          <w:i/>
          <w:iCs/>
          <w:sz w:val="22"/>
          <w:szCs w:val="22"/>
          <w:lang w:val="el-GR"/>
        </w:rPr>
        <w:t xml:space="preserve">. </w:t>
      </w:r>
      <w:r w:rsidR="005724FC" w:rsidRPr="005724FC">
        <w:rPr>
          <w:rFonts w:ascii="Bookman Old Style" w:hAnsi="Bookman Old Style" w:cs="Arial"/>
          <w:b/>
          <w:bCs/>
          <w:i/>
          <w:iCs/>
          <w:sz w:val="22"/>
          <w:szCs w:val="22"/>
          <w:lang w:val="el-GR"/>
        </w:rPr>
        <w:t>Θεοδώρου</w:t>
      </w:r>
      <w:r w:rsidR="005724FC" w:rsidRPr="006632E5">
        <w:rPr>
          <w:rFonts w:ascii="Bookman Old Style" w:hAnsi="Bookman Old Style" w:cs="Arial"/>
          <w:b/>
          <w:bCs/>
          <w:i/>
          <w:iCs/>
          <w:sz w:val="22"/>
          <w:szCs w:val="22"/>
          <w:lang w:val="el-GR"/>
        </w:rPr>
        <w:t>,</w:t>
      </w:r>
      <w:r w:rsidR="006632E5">
        <w:rPr>
          <w:rFonts w:ascii="Bookman Old Style" w:hAnsi="Bookman Old Style" w:cs="Arial"/>
          <w:b/>
          <w:bCs/>
          <w:i/>
          <w:iCs/>
          <w:sz w:val="22"/>
          <w:szCs w:val="22"/>
          <w:lang w:val="el-GR"/>
        </w:rPr>
        <w:t xml:space="preserve"> Πολιτική Έφεση αρ. 29/2010, ημερ. </w:t>
      </w:r>
      <w:r w:rsidR="006632E5" w:rsidRPr="002B74A2">
        <w:rPr>
          <w:rFonts w:ascii="Bookman Old Style" w:hAnsi="Bookman Old Style" w:cs="Arial"/>
          <w:b/>
          <w:bCs/>
          <w:i/>
          <w:iCs/>
          <w:sz w:val="22"/>
          <w:szCs w:val="22"/>
          <w:lang w:val="en-US"/>
        </w:rPr>
        <w:t>30/1/2015</w:t>
      </w:r>
      <w:r w:rsidR="005724FC" w:rsidRPr="00195FCD">
        <w:rPr>
          <w:rFonts w:ascii="Bookman Old Style" w:hAnsi="Bookman Old Style" w:cs="Arial"/>
          <w:sz w:val="22"/>
          <w:szCs w:val="22"/>
          <w:lang w:val="en-US"/>
        </w:rPr>
        <w:t>).</w:t>
      </w:r>
    </w:p>
    <w:p w14:paraId="7A3AC732" w14:textId="77777777" w:rsidR="00963281" w:rsidRPr="005724FC" w:rsidRDefault="00963281" w:rsidP="005724FC">
      <w:pPr>
        <w:pStyle w:val="FootnoteText"/>
        <w:spacing w:line="276" w:lineRule="auto"/>
        <w:jc w:val="both"/>
        <w:rPr>
          <w:rFonts w:ascii="Bookman Old Style" w:hAnsi="Bookman Old Style"/>
          <w:sz w:val="22"/>
          <w:szCs w:val="22"/>
          <w:lang/>
        </w:rPr>
      </w:pPr>
    </w:p>
  </w:footnote>
  <w:footnote w:id="2">
    <w:p w14:paraId="0D08B04E" w14:textId="51AC8841" w:rsidR="002A1562" w:rsidRPr="005C3B80" w:rsidRDefault="002A1562" w:rsidP="002A1562">
      <w:pPr>
        <w:pStyle w:val="FootnoteText"/>
        <w:spacing w:line="276" w:lineRule="auto"/>
        <w:jc w:val="both"/>
        <w:rPr>
          <w:sz w:val="22"/>
          <w:szCs w:val="22"/>
          <w:lang w:val="en-US"/>
        </w:rPr>
      </w:pPr>
      <w:r w:rsidRPr="002A1562">
        <w:rPr>
          <w:rStyle w:val="FootnoteReference"/>
          <w:rFonts w:ascii="Bookman Old Style" w:hAnsi="Bookman Old Style"/>
          <w:sz w:val="22"/>
          <w:szCs w:val="22"/>
        </w:rPr>
        <w:footnoteRef/>
      </w:r>
      <w:r w:rsidRPr="002A1562">
        <w:rPr>
          <w:rFonts w:ascii="Bookman Old Style" w:hAnsi="Bookman Old Style"/>
          <w:sz w:val="22"/>
          <w:szCs w:val="22"/>
        </w:rPr>
        <w:t xml:space="preserve"> </w:t>
      </w:r>
      <w:r w:rsidRPr="002A1562">
        <w:rPr>
          <w:rFonts w:ascii="Bookman Old Style" w:hAnsi="Bookman Old Style"/>
          <w:b/>
          <w:bCs/>
          <w:sz w:val="22"/>
          <w:szCs w:val="22"/>
        </w:rPr>
        <w:t>(4)</w:t>
      </w:r>
      <w:r w:rsidRPr="002A1562">
        <w:rPr>
          <w:rFonts w:ascii="Bookman Old Style" w:hAnsi="Bookman Old Style"/>
          <w:sz w:val="22"/>
          <w:szCs w:val="22"/>
        </w:rPr>
        <w:t> </w:t>
      </w:r>
      <w:r w:rsidRPr="002A1562">
        <w:rPr>
          <w:rFonts w:ascii="Bookman Old Style" w:hAnsi="Bookman Old Style"/>
          <w:i/>
          <w:iCs/>
          <w:sz w:val="22"/>
          <w:szCs w:val="22"/>
        </w:rPr>
        <w:t>Any person (other than the applicant) affected by an order made ex parte may apply by summons to have it set aside or varied and the Court or Judge may set aside or vary such order on such terms as may seem</w:t>
      </w:r>
      <w:r w:rsidRPr="002A1562">
        <w:rPr>
          <w:rFonts w:ascii="Bookman Old Style" w:hAnsi="Bookman Old Style"/>
          <w:i/>
          <w:iCs/>
        </w:rPr>
        <w:t xml:space="preserve"> </w:t>
      </w:r>
      <w:r w:rsidRPr="005C3B80">
        <w:rPr>
          <w:rFonts w:ascii="Bookman Old Style" w:hAnsi="Bookman Old Style"/>
          <w:i/>
          <w:iCs/>
          <w:sz w:val="22"/>
          <w:szCs w:val="22"/>
        </w:rPr>
        <w:t>just.</w:t>
      </w:r>
    </w:p>
  </w:footnote>
  <w:footnote w:id="3">
    <w:p w14:paraId="202A3A91" w14:textId="7D8D40AD" w:rsidR="00871CAA" w:rsidRPr="00871CAA" w:rsidRDefault="00871CAA" w:rsidP="00871CAA">
      <w:pPr>
        <w:pStyle w:val="FootnoteText"/>
        <w:jc w:val="both"/>
        <w:rPr>
          <w:rFonts w:ascii="Bookman Old Style" w:hAnsi="Bookman Old Style"/>
          <w:sz w:val="22"/>
          <w:szCs w:val="22"/>
          <w:lang w:val="el-GR"/>
        </w:rPr>
      </w:pPr>
      <w:r w:rsidRPr="00871CAA">
        <w:rPr>
          <w:rStyle w:val="FootnoteReference"/>
          <w:rFonts w:ascii="Bookman Old Style" w:hAnsi="Bookman Old Style"/>
          <w:sz w:val="22"/>
          <w:szCs w:val="22"/>
        </w:rPr>
        <w:footnoteRef/>
      </w:r>
      <w:r w:rsidRPr="00871CAA">
        <w:rPr>
          <w:rFonts w:ascii="Bookman Old Style" w:hAnsi="Bookman Old Style"/>
          <w:sz w:val="22"/>
          <w:szCs w:val="22"/>
          <w:lang w:val="el-GR"/>
        </w:rPr>
        <w:t xml:space="preserve"> Δέστε και την υπόθεση </w:t>
      </w:r>
      <w:r w:rsidRPr="00871CAA">
        <w:rPr>
          <w:rFonts w:ascii="Bookman Old Style" w:hAnsi="Bookman Old Style"/>
          <w:b/>
          <w:bCs/>
          <w:i/>
          <w:iCs/>
          <w:sz w:val="22"/>
          <w:szCs w:val="22"/>
          <w:lang w:val="el-GR"/>
        </w:rPr>
        <w:t>Αναφορικά με την Αίτηση του Χρ. Πίττακα (2001) 1 Α.Α.Δ. 1932</w:t>
      </w:r>
      <w:r w:rsidRPr="00871CAA">
        <w:rPr>
          <w:rFonts w:ascii="Bookman Old Style" w:hAnsi="Bookman Old Style"/>
          <w:sz w:val="22"/>
          <w:szCs w:val="22"/>
          <w:lang w:val="el-G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725A" w14:textId="661E44EF" w:rsidR="00CF75E4" w:rsidRDefault="00CF75E4">
    <w:pPr>
      <w:pStyle w:val="Header"/>
      <w:jc w:val="center"/>
    </w:pPr>
    <w:r>
      <w:fldChar w:fldCharType="begin"/>
    </w:r>
    <w:r>
      <w:instrText xml:space="preserve"> PAGE   \* MERGEFORMAT </w:instrText>
    </w:r>
    <w:r>
      <w:fldChar w:fldCharType="separate"/>
    </w:r>
    <w:r w:rsidR="00683161">
      <w:rPr>
        <w:noProof/>
      </w:rPr>
      <w:t>11</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4"/>
  </w:num>
  <w:num w:numId="14">
    <w:abstractNumId w:val="2"/>
  </w:num>
  <w:num w:numId="15">
    <w:abstractNumId w:val="8"/>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7318"/>
    <w:rsid w:val="00020297"/>
    <w:rsid w:val="0002488E"/>
    <w:rsid w:val="000278F3"/>
    <w:rsid w:val="000349B3"/>
    <w:rsid w:val="00035069"/>
    <w:rsid w:val="0003597D"/>
    <w:rsid w:val="00035EA5"/>
    <w:rsid w:val="00040D98"/>
    <w:rsid w:val="00042D4F"/>
    <w:rsid w:val="00043077"/>
    <w:rsid w:val="000437F7"/>
    <w:rsid w:val="00053E4D"/>
    <w:rsid w:val="000576DF"/>
    <w:rsid w:val="00057AE4"/>
    <w:rsid w:val="00057B74"/>
    <w:rsid w:val="00061084"/>
    <w:rsid w:val="0006133B"/>
    <w:rsid w:val="000613C5"/>
    <w:rsid w:val="00062D2B"/>
    <w:rsid w:val="00063486"/>
    <w:rsid w:val="00076727"/>
    <w:rsid w:val="00080CBF"/>
    <w:rsid w:val="00083841"/>
    <w:rsid w:val="0008752B"/>
    <w:rsid w:val="00091BC2"/>
    <w:rsid w:val="0009358C"/>
    <w:rsid w:val="000A0BB8"/>
    <w:rsid w:val="000A22CD"/>
    <w:rsid w:val="000A2E70"/>
    <w:rsid w:val="000A685B"/>
    <w:rsid w:val="000A7342"/>
    <w:rsid w:val="000B29B3"/>
    <w:rsid w:val="000B53F3"/>
    <w:rsid w:val="000B55AF"/>
    <w:rsid w:val="000B565F"/>
    <w:rsid w:val="000B628C"/>
    <w:rsid w:val="000C4171"/>
    <w:rsid w:val="000C432E"/>
    <w:rsid w:val="000D1294"/>
    <w:rsid w:val="000D512B"/>
    <w:rsid w:val="000D5E56"/>
    <w:rsid w:val="000D763E"/>
    <w:rsid w:val="000E4325"/>
    <w:rsid w:val="000E77E5"/>
    <w:rsid w:val="000F0639"/>
    <w:rsid w:val="00101DC5"/>
    <w:rsid w:val="0010413E"/>
    <w:rsid w:val="00105780"/>
    <w:rsid w:val="001070CB"/>
    <w:rsid w:val="0011210C"/>
    <w:rsid w:val="00113285"/>
    <w:rsid w:val="00117C36"/>
    <w:rsid w:val="00120A8A"/>
    <w:rsid w:val="00121049"/>
    <w:rsid w:val="0012137B"/>
    <w:rsid w:val="0013347A"/>
    <w:rsid w:val="0013436B"/>
    <w:rsid w:val="00134644"/>
    <w:rsid w:val="00136F62"/>
    <w:rsid w:val="00137315"/>
    <w:rsid w:val="00137D46"/>
    <w:rsid w:val="0014290A"/>
    <w:rsid w:val="00144D59"/>
    <w:rsid w:val="001478D9"/>
    <w:rsid w:val="001505E5"/>
    <w:rsid w:val="001506D1"/>
    <w:rsid w:val="0015347A"/>
    <w:rsid w:val="0016041B"/>
    <w:rsid w:val="001607AD"/>
    <w:rsid w:val="00160B11"/>
    <w:rsid w:val="00162A0D"/>
    <w:rsid w:val="00171E30"/>
    <w:rsid w:val="001725B7"/>
    <w:rsid w:val="0017406F"/>
    <w:rsid w:val="0017450C"/>
    <w:rsid w:val="0017483E"/>
    <w:rsid w:val="0018425D"/>
    <w:rsid w:val="00190856"/>
    <w:rsid w:val="001950A7"/>
    <w:rsid w:val="00195FCD"/>
    <w:rsid w:val="00197D26"/>
    <w:rsid w:val="001A0D7E"/>
    <w:rsid w:val="001A1A4B"/>
    <w:rsid w:val="001B23EF"/>
    <w:rsid w:val="001B3040"/>
    <w:rsid w:val="001B4997"/>
    <w:rsid w:val="001C3A40"/>
    <w:rsid w:val="001C5EF1"/>
    <w:rsid w:val="001D0165"/>
    <w:rsid w:val="001E05AA"/>
    <w:rsid w:val="001E09D1"/>
    <w:rsid w:val="001E0A02"/>
    <w:rsid w:val="001E2109"/>
    <w:rsid w:val="001E3F2C"/>
    <w:rsid w:val="001E47BA"/>
    <w:rsid w:val="001E6E2E"/>
    <w:rsid w:val="001E7A53"/>
    <w:rsid w:val="001E7E64"/>
    <w:rsid w:val="001F2D57"/>
    <w:rsid w:val="001F3DAA"/>
    <w:rsid w:val="001F62D3"/>
    <w:rsid w:val="00201535"/>
    <w:rsid w:val="00201878"/>
    <w:rsid w:val="0020248C"/>
    <w:rsid w:val="00202A2C"/>
    <w:rsid w:val="00203D28"/>
    <w:rsid w:val="002107FF"/>
    <w:rsid w:val="00211B73"/>
    <w:rsid w:val="002121AF"/>
    <w:rsid w:val="00212C84"/>
    <w:rsid w:val="00216C55"/>
    <w:rsid w:val="00221854"/>
    <w:rsid w:val="00226104"/>
    <w:rsid w:val="0023071A"/>
    <w:rsid w:val="00237318"/>
    <w:rsid w:val="002375E9"/>
    <w:rsid w:val="0024555A"/>
    <w:rsid w:val="00246242"/>
    <w:rsid w:val="00246435"/>
    <w:rsid w:val="002511DC"/>
    <w:rsid w:val="00252595"/>
    <w:rsid w:val="002534A2"/>
    <w:rsid w:val="002537E5"/>
    <w:rsid w:val="00253890"/>
    <w:rsid w:val="00254DD1"/>
    <w:rsid w:val="00254EE9"/>
    <w:rsid w:val="002563C2"/>
    <w:rsid w:val="0026236A"/>
    <w:rsid w:val="002627BF"/>
    <w:rsid w:val="002644B6"/>
    <w:rsid w:val="00265A85"/>
    <w:rsid w:val="002665E5"/>
    <w:rsid w:val="00266B1B"/>
    <w:rsid w:val="00266CD9"/>
    <w:rsid w:val="00267A23"/>
    <w:rsid w:val="00267CEF"/>
    <w:rsid w:val="0027030F"/>
    <w:rsid w:val="00271495"/>
    <w:rsid w:val="00272442"/>
    <w:rsid w:val="00276F88"/>
    <w:rsid w:val="002822E0"/>
    <w:rsid w:val="002842C3"/>
    <w:rsid w:val="00284DCF"/>
    <w:rsid w:val="00285F60"/>
    <w:rsid w:val="00286460"/>
    <w:rsid w:val="00287351"/>
    <w:rsid w:val="00287F36"/>
    <w:rsid w:val="00291651"/>
    <w:rsid w:val="00294FE1"/>
    <w:rsid w:val="00295602"/>
    <w:rsid w:val="00296605"/>
    <w:rsid w:val="002A1562"/>
    <w:rsid w:val="002A4ED5"/>
    <w:rsid w:val="002A631C"/>
    <w:rsid w:val="002A67AF"/>
    <w:rsid w:val="002B0A78"/>
    <w:rsid w:val="002B2638"/>
    <w:rsid w:val="002B2C51"/>
    <w:rsid w:val="002B74A2"/>
    <w:rsid w:val="002B74E9"/>
    <w:rsid w:val="002C0A93"/>
    <w:rsid w:val="002C3BDD"/>
    <w:rsid w:val="002C3E1F"/>
    <w:rsid w:val="002C6685"/>
    <w:rsid w:val="002C7F3B"/>
    <w:rsid w:val="002D128B"/>
    <w:rsid w:val="002D1618"/>
    <w:rsid w:val="002D16C8"/>
    <w:rsid w:val="002D2DF4"/>
    <w:rsid w:val="002D3C1D"/>
    <w:rsid w:val="002D4F96"/>
    <w:rsid w:val="002D6034"/>
    <w:rsid w:val="002D7BF1"/>
    <w:rsid w:val="002E068E"/>
    <w:rsid w:val="002E4F31"/>
    <w:rsid w:val="002E5CA3"/>
    <w:rsid w:val="002E73C6"/>
    <w:rsid w:val="002E7735"/>
    <w:rsid w:val="002F671E"/>
    <w:rsid w:val="00302035"/>
    <w:rsid w:val="0030216D"/>
    <w:rsid w:val="003031D4"/>
    <w:rsid w:val="003103D8"/>
    <w:rsid w:val="00316BE5"/>
    <w:rsid w:val="00316C5D"/>
    <w:rsid w:val="003231CA"/>
    <w:rsid w:val="0032535A"/>
    <w:rsid w:val="00327D19"/>
    <w:rsid w:val="00333E33"/>
    <w:rsid w:val="00335FEF"/>
    <w:rsid w:val="00337703"/>
    <w:rsid w:val="00337BC4"/>
    <w:rsid w:val="003472C7"/>
    <w:rsid w:val="0035313C"/>
    <w:rsid w:val="003561FF"/>
    <w:rsid w:val="003605F5"/>
    <w:rsid w:val="00362EB6"/>
    <w:rsid w:val="0036532E"/>
    <w:rsid w:val="003678E2"/>
    <w:rsid w:val="0037086D"/>
    <w:rsid w:val="00374EB1"/>
    <w:rsid w:val="00380609"/>
    <w:rsid w:val="0038103B"/>
    <w:rsid w:val="00381D97"/>
    <w:rsid w:val="00394B2D"/>
    <w:rsid w:val="00395154"/>
    <w:rsid w:val="00397480"/>
    <w:rsid w:val="003A0304"/>
    <w:rsid w:val="003A158D"/>
    <w:rsid w:val="003A1852"/>
    <w:rsid w:val="003A3BA5"/>
    <w:rsid w:val="003B5736"/>
    <w:rsid w:val="003B70A7"/>
    <w:rsid w:val="003C0033"/>
    <w:rsid w:val="003C2E3E"/>
    <w:rsid w:val="003D2A87"/>
    <w:rsid w:val="003D3D98"/>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528"/>
    <w:rsid w:val="004038F0"/>
    <w:rsid w:val="00411F7A"/>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198C"/>
    <w:rsid w:val="00464C34"/>
    <w:rsid w:val="004659AE"/>
    <w:rsid w:val="0047079A"/>
    <w:rsid w:val="004727E2"/>
    <w:rsid w:val="00475C42"/>
    <w:rsid w:val="00475EE3"/>
    <w:rsid w:val="0048095C"/>
    <w:rsid w:val="00482618"/>
    <w:rsid w:val="00484799"/>
    <w:rsid w:val="004850CD"/>
    <w:rsid w:val="0048527C"/>
    <w:rsid w:val="00486CB3"/>
    <w:rsid w:val="00492802"/>
    <w:rsid w:val="00497E25"/>
    <w:rsid w:val="004A086C"/>
    <w:rsid w:val="004A26A8"/>
    <w:rsid w:val="004B3154"/>
    <w:rsid w:val="004B795E"/>
    <w:rsid w:val="004C2E05"/>
    <w:rsid w:val="004D25BD"/>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C11"/>
    <w:rsid w:val="00522E71"/>
    <w:rsid w:val="00524F99"/>
    <w:rsid w:val="00531F9F"/>
    <w:rsid w:val="00535C1F"/>
    <w:rsid w:val="005407A0"/>
    <w:rsid w:val="0054698F"/>
    <w:rsid w:val="00547689"/>
    <w:rsid w:val="00551AF3"/>
    <w:rsid w:val="0055241D"/>
    <w:rsid w:val="0056063D"/>
    <w:rsid w:val="005629C5"/>
    <w:rsid w:val="00571FD5"/>
    <w:rsid w:val="005724FC"/>
    <w:rsid w:val="00573B9E"/>
    <w:rsid w:val="005764D2"/>
    <w:rsid w:val="00580AED"/>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3B80"/>
    <w:rsid w:val="005C6032"/>
    <w:rsid w:val="005D2199"/>
    <w:rsid w:val="005D28AB"/>
    <w:rsid w:val="005D2E55"/>
    <w:rsid w:val="005D2F28"/>
    <w:rsid w:val="005D5130"/>
    <w:rsid w:val="005D5EFD"/>
    <w:rsid w:val="005D6545"/>
    <w:rsid w:val="005E022A"/>
    <w:rsid w:val="005E445B"/>
    <w:rsid w:val="005E71BE"/>
    <w:rsid w:val="005E7D07"/>
    <w:rsid w:val="005E7EE5"/>
    <w:rsid w:val="00601276"/>
    <w:rsid w:val="00607D06"/>
    <w:rsid w:val="00612EFA"/>
    <w:rsid w:val="006136F7"/>
    <w:rsid w:val="00622061"/>
    <w:rsid w:val="006232C0"/>
    <w:rsid w:val="00624596"/>
    <w:rsid w:val="006334D9"/>
    <w:rsid w:val="00634CA2"/>
    <w:rsid w:val="006351AC"/>
    <w:rsid w:val="00637F1D"/>
    <w:rsid w:val="006444DE"/>
    <w:rsid w:val="00646095"/>
    <w:rsid w:val="00647A1A"/>
    <w:rsid w:val="006513A3"/>
    <w:rsid w:val="006517ED"/>
    <w:rsid w:val="00655996"/>
    <w:rsid w:val="0065724A"/>
    <w:rsid w:val="006618B0"/>
    <w:rsid w:val="006632E5"/>
    <w:rsid w:val="00670778"/>
    <w:rsid w:val="006711C2"/>
    <w:rsid w:val="006732A5"/>
    <w:rsid w:val="00674ACA"/>
    <w:rsid w:val="006757D1"/>
    <w:rsid w:val="006773DC"/>
    <w:rsid w:val="00683161"/>
    <w:rsid w:val="00683514"/>
    <w:rsid w:val="006862A3"/>
    <w:rsid w:val="006906F6"/>
    <w:rsid w:val="0069114A"/>
    <w:rsid w:val="0069157F"/>
    <w:rsid w:val="006916A2"/>
    <w:rsid w:val="00691BEC"/>
    <w:rsid w:val="006924A3"/>
    <w:rsid w:val="00692BC5"/>
    <w:rsid w:val="00694AF3"/>
    <w:rsid w:val="00697CB0"/>
    <w:rsid w:val="006A030A"/>
    <w:rsid w:val="006A219E"/>
    <w:rsid w:val="006A35A6"/>
    <w:rsid w:val="006A457C"/>
    <w:rsid w:val="006A78A8"/>
    <w:rsid w:val="006B1138"/>
    <w:rsid w:val="006B1A70"/>
    <w:rsid w:val="006B3E07"/>
    <w:rsid w:val="006C0510"/>
    <w:rsid w:val="006D20A9"/>
    <w:rsid w:val="006D7166"/>
    <w:rsid w:val="006D7A84"/>
    <w:rsid w:val="006E0506"/>
    <w:rsid w:val="006E1250"/>
    <w:rsid w:val="006E65A3"/>
    <w:rsid w:val="006F4660"/>
    <w:rsid w:val="006F53E1"/>
    <w:rsid w:val="006F6985"/>
    <w:rsid w:val="00702EC7"/>
    <w:rsid w:val="00703717"/>
    <w:rsid w:val="007062FF"/>
    <w:rsid w:val="007104B4"/>
    <w:rsid w:val="0071426B"/>
    <w:rsid w:val="0071575E"/>
    <w:rsid w:val="00715AEB"/>
    <w:rsid w:val="00716B91"/>
    <w:rsid w:val="00722DE1"/>
    <w:rsid w:val="00725DAA"/>
    <w:rsid w:val="00726C84"/>
    <w:rsid w:val="00726FAF"/>
    <w:rsid w:val="0073109D"/>
    <w:rsid w:val="00731523"/>
    <w:rsid w:val="0073354D"/>
    <w:rsid w:val="00734CE5"/>
    <w:rsid w:val="00735A48"/>
    <w:rsid w:val="00736C9F"/>
    <w:rsid w:val="00740B9B"/>
    <w:rsid w:val="00743E16"/>
    <w:rsid w:val="00744756"/>
    <w:rsid w:val="00747CB7"/>
    <w:rsid w:val="00751215"/>
    <w:rsid w:val="00754DD0"/>
    <w:rsid w:val="007550A3"/>
    <w:rsid w:val="00756490"/>
    <w:rsid w:val="0075790C"/>
    <w:rsid w:val="00765F70"/>
    <w:rsid w:val="007677B6"/>
    <w:rsid w:val="007715DB"/>
    <w:rsid w:val="00773FD7"/>
    <w:rsid w:val="00774795"/>
    <w:rsid w:val="007748E6"/>
    <w:rsid w:val="007758DA"/>
    <w:rsid w:val="00776545"/>
    <w:rsid w:val="00776D6B"/>
    <w:rsid w:val="00777A4E"/>
    <w:rsid w:val="00781979"/>
    <w:rsid w:val="00791BEC"/>
    <w:rsid w:val="00797579"/>
    <w:rsid w:val="007A1FA8"/>
    <w:rsid w:val="007A32F4"/>
    <w:rsid w:val="007A57DA"/>
    <w:rsid w:val="007B66F0"/>
    <w:rsid w:val="007B7C5B"/>
    <w:rsid w:val="007C0DBD"/>
    <w:rsid w:val="007C114B"/>
    <w:rsid w:val="007C5251"/>
    <w:rsid w:val="007C56EF"/>
    <w:rsid w:val="007D15BB"/>
    <w:rsid w:val="007D15FD"/>
    <w:rsid w:val="007D3597"/>
    <w:rsid w:val="007D7DDA"/>
    <w:rsid w:val="007E3146"/>
    <w:rsid w:val="007E3626"/>
    <w:rsid w:val="007E4F68"/>
    <w:rsid w:val="007F0ED2"/>
    <w:rsid w:val="007F52BF"/>
    <w:rsid w:val="007F6B75"/>
    <w:rsid w:val="007F7BAA"/>
    <w:rsid w:val="00800232"/>
    <w:rsid w:val="008034A8"/>
    <w:rsid w:val="00806143"/>
    <w:rsid w:val="00810B04"/>
    <w:rsid w:val="00813E9D"/>
    <w:rsid w:val="00814C8C"/>
    <w:rsid w:val="00814F25"/>
    <w:rsid w:val="0081642C"/>
    <w:rsid w:val="00822D7C"/>
    <w:rsid w:val="00825237"/>
    <w:rsid w:val="008264A6"/>
    <w:rsid w:val="00830BA8"/>
    <w:rsid w:val="00835557"/>
    <w:rsid w:val="00836396"/>
    <w:rsid w:val="008376CB"/>
    <w:rsid w:val="00837E71"/>
    <w:rsid w:val="0084117D"/>
    <w:rsid w:val="00843D99"/>
    <w:rsid w:val="008468D1"/>
    <w:rsid w:val="00846C09"/>
    <w:rsid w:val="00851456"/>
    <w:rsid w:val="008518F5"/>
    <w:rsid w:val="00852ED4"/>
    <w:rsid w:val="00853085"/>
    <w:rsid w:val="00854B6B"/>
    <w:rsid w:val="00865FA3"/>
    <w:rsid w:val="0087152E"/>
    <w:rsid w:val="00871CAA"/>
    <w:rsid w:val="0087268E"/>
    <w:rsid w:val="00874F0C"/>
    <w:rsid w:val="0087582D"/>
    <w:rsid w:val="0087796B"/>
    <w:rsid w:val="00891B19"/>
    <w:rsid w:val="00893352"/>
    <w:rsid w:val="00895D67"/>
    <w:rsid w:val="008969EE"/>
    <w:rsid w:val="00896E38"/>
    <w:rsid w:val="008A317B"/>
    <w:rsid w:val="008A4C74"/>
    <w:rsid w:val="008A6C8C"/>
    <w:rsid w:val="008A7196"/>
    <w:rsid w:val="008A71DD"/>
    <w:rsid w:val="008B113A"/>
    <w:rsid w:val="008B2B37"/>
    <w:rsid w:val="008B51D7"/>
    <w:rsid w:val="008C0241"/>
    <w:rsid w:val="008C1EB2"/>
    <w:rsid w:val="008C320C"/>
    <w:rsid w:val="008C4F42"/>
    <w:rsid w:val="008D1BCB"/>
    <w:rsid w:val="008D2CCC"/>
    <w:rsid w:val="008E2F19"/>
    <w:rsid w:val="008E307B"/>
    <w:rsid w:val="008E393D"/>
    <w:rsid w:val="008E5738"/>
    <w:rsid w:val="008F02A1"/>
    <w:rsid w:val="008F0FD5"/>
    <w:rsid w:val="008F2A45"/>
    <w:rsid w:val="008F40F2"/>
    <w:rsid w:val="008F4867"/>
    <w:rsid w:val="008F7E1A"/>
    <w:rsid w:val="009011BE"/>
    <w:rsid w:val="00904291"/>
    <w:rsid w:val="00906E2C"/>
    <w:rsid w:val="009079F3"/>
    <w:rsid w:val="00910F1D"/>
    <w:rsid w:val="00912167"/>
    <w:rsid w:val="00913BEE"/>
    <w:rsid w:val="009147CC"/>
    <w:rsid w:val="00916EE8"/>
    <w:rsid w:val="009202BF"/>
    <w:rsid w:val="00921BC5"/>
    <w:rsid w:val="00925D22"/>
    <w:rsid w:val="00932F16"/>
    <w:rsid w:val="0093377F"/>
    <w:rsid w:val="0093471C"/>
    <w:rsid w:val="009363BE"/>
    <w:rsid w:val="00940BE8"/>
    <w:rsid w:val="00945878"/>
    <w:rsid w:val="009517D6"/>
    <w:rsid w:val="00952D41"/>
    <w:rsid w:val="00953421"/>
    <w:rsid w:val="00960BCE"/>
    <w:rsid w:val="0096195E"/>
    <w:rsid w:val="00962E2D"/>
    <w:rsid w:val="00963265"/>
    <w:rsid w:val="00963281"/>
    <w:rsid w:val="00963291"/>
    <w:rsid w:val="00964907"/>
    <w:rsid w:val="00972247"/>
    <w:rsid w:val="00972616"/>
    <w:rsid w:val="009761C5"/>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6E56"/>
    <w:rsid w:val="009C1918"/>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54E7A"/>
    <w:rsid w:val="00A60D55"/>
    <w:rsid w:val="00A66D3C"/>
    <w:rsid w:val="00A67896"/>
    <w:rsid w:val="00A7060A"/>
    <w:rsid w:val="00A72364"/>
    <w:rsid w:val="00A7422C"/>
    <w:rsid w:val="00A802E2"/>
    <w:rsid w:val="00A8256A"/>
    <w:rsid w:val="00A82703"/>
    <w:rsid w:val="00A82A05"/>
    <w:rsid w:val="00A8544F"/>
    <w:rsid w:val="00A870CE"/>
    <w:rsid w:val="00A916F0"/>
    <w:rsid w:val="00A9462B"/>
    <w:rsid w:val="00AA0AA7"/>
    <w:rsid w:val="00AA0C4D"/>
    <w:rsid w:val="00AA2D71"/>
    <w:rsid w:val="00AA60DB"/>
    <w:rsid w:val="00AB04CA"/>
    <w:rsid w:val="00AB08EA"/>
    <w:rsid w:val="00AB1D29"/>
    <w:rsid w:val="00AB27DC"/>
    <w:rsid w:val="00AB2E9E"/>
    <w:rsid w:val="00AB4289"/>
    <w:rsid w:val="00AB54AD"/>
    <w:rsid w:val="00AB5ECD"/>
    <w:rsid w:val="00AB65C0"/>
    <w:rsid w:val="00AD172D"/>
    <w:rsid w:val="00AD1ED2"/>
    <w:rsid w:val="00AD2454"/>
    <w:rsid w:val="00AD4B81"/>
    <w:rsid w:val="00AE75E3"/>
    <w:rsid w:val="00AF455A"/>
    <w:rsid w:val="00AF5968"/>
    <w:rsid w:val="00B0364D"/>
    <w:rsid w:val="00B123FB"/>
    <w:rsid w:val="00B1460D"/>
    <w:rsid w:val="00B1500D"/>
    <w:rsid w:val="00B15F84"/>
    <w:rsid w:val="00B16916"/>
    <w:rsid w:val="00B16E11"/>
    <w:rsid w:val="00B2068B"/>
    <w:rsid w:val="00B22D4B"/>
    <w:rsid w:val="00B23134"/>
    <w:rsid w:val="00B24284"/>
    <w:rsid w:val="00B25EDC"/>
    <w:rsid w:val="00B27215"/>
    <w:rsid w:val="00B30C8F"/>
    <w:rsid w:val="00B31D02"/>
    <w:rsid w:val="00B32D72"/>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7C02"/>
    <w:rsid w:val="00B90239"/>
    <w:rsid w:val="00B917F7"/>
    <w:rsid w:val="00B91E8C"/>
    <w:rsid w:val="00B95815"/>
    <w:rsid w:val="00B96E9E"/>
    <w:rsid w:val="00BA0224"/>
    <w:rsid w:val="00BA03D6"/>
    <w:rsid w:val="00BA11E9"/>
    <w:rsid w:val="00BA127C"/>
    <w:rsid w:val="00BA2153"/>
    <w:rsid w:val="00BA56C2"/>
    <w:rsid w:val="00BB3DA6"/>
    <w:rsid w:val="00BB5645"/>
    <w:rsid w:val="00BC4F86"/>
    <w:rsid w:val="00BC768F"/>
    <w:rsid w:val="00BC7DCE"/>
    <w:rsid w:val="00BD1992"/>
    <w:rsid w:val="00BD2E61"/>
    <w:rsid w:val="00BD4792"/>
    <w:rsid w:val="00BD5677"/>
    <w:rsid w:val="00BD5711"/>
    <w:rsid w:val="00BD622C"/>
    <w:rsid w:val="00BD79DB"/>
    <w:rsid w:val="00BE1639"/>
    <w:rsid w:val="00BE166E"/>
    <w:rsid w:val="00BE2772"/>
    <w:rsid w:val="00BE4595"/>
    <w:rsid w:val="00BF01A2"/>
    <w:rsid w:val="00BF0A7A"/>
    <w:rsid w:val="00BF2C66"/>
    <w:rsid w:val="00BF4175"/>
    <w:rsid w:val="00BF434D"/>
    <w:rsid w:val="00BF6024"/>
    <w:rsid w:val="00C01744"/>
    <w:rsid w:val="00C02EE5"/>
    <w:rsid w:val="00C146DB"/>
    <w:rsid w:val="00C15F65"/>
    <w:rsid w:val="00C17EE5"/>
    <w:rsid w:val="00C3196D"/>
    <w:rsid w:val="00C3201B"/>
    <w:rsid w:val="00C328D9"/>
    <w:rsid w:val="00C334D2"/>
    <w:rsid w:val="00C37830"/>
    <w:rsid w:val="00C40D68"/>
    <w:rsid w:val="00C45AB0"/>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E4BA9"/>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581D"/>
    <w:rsid w:val="00D4778A"/>
    <w:rsid w:val="00D47FDB"/>
    <w:rsid w:val="00D50F95"/>
    <w:rsid w:val="00D57A94"/>
    <w:rsid w:val="00D60DD5"/>
    <w:rsid w:val="00D67FAD"/>
    <w:rsid w:val="00D75F27"/>
    <w:rsid w:val="00D76012"/>
    <w:rsid w:val="00D85EB2"/>
    <w:rsid w:val="00D874F9"/>
    <w:rsid w:val="00D95735"/>
    <w:rsid w:val="00D95D64"/>
    <w:rsid w:val="00DA3DA4"/>
    <w:rsid w:val="00DA574B"/>
    <w:rsid w:val="00DA6979"/>
    <w:rsid w:val="00DB395C"/>
    <w:rsid w:val="00DB65F7"/>
    <w:rsid w:val="00DB7912"/>
    <w:rsid w:val="00DD239F"/>
    <w:rsid w:val="00DD2E62"/>
    <w:rsid w:val="00DD33C7"/>
    <w:rsid w:val="00DE0017"/>
    <w:rsid w:val="00DE3869"/>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1706B"/>
    <w:rsid w:val="00E21C97"/>
    <w:rsid w:val="00E2285C"/>
    <w:rsid w:val="00E27168"/>
    <w:rsid w:val="00E31FB9"/>
    <w:rsid w:val="00E33F98"/>
    <w:rsid w:val="00E35746"/>
    <w:rsid w:val="00E41884"/>
    <w:rsid w:val="00E41F0F"/>
    <w:rsid w:val="00E4347D"/>
    <w:rsid w:val="00E43ECC"/>
    <w:rsid w:val="00E44EE8"/>
    <w:rsid w:val="00E50D40"/>
    <w:rsid w:val="00E50EB3"/>
    <w:rsid w:val="00E544DA"/>
    <w:rsid w:val="00E55A0A"/>
    <w:rsid w:val="00E55B7C"/>
    <w:rsid w:val="00E612FD"/>
    <w:rsid w:val="00E6403D"/>
    <w:rsid w:val="00E6449D"/>
    <w:rsid w:val="00E70193"/>
    <w:rsid w:val="00E71828"/>
    <w:rsid w:val="00E728D3"/>
    <w:rsid w:val="00E72E3E"/>
    <w:rsid w:val="00E76BAB"/>
    <w:rsid w:val="00E77455"/>
    <w:rsid w:val="00E81A0F"/>
    <w:rsid w:val="00E845CA"/>
    <w:rsid w:val="00E86246"/>
    <w:rsid w:val="00E87640"/>
    <w:rsid w:val="00E92549"/>
    <w:rsid w:val="00EA61A4"/>
    <w:rsid w:val="00EB04B4"/>
    <w:rsid w:val="00EB5DC6"/>
    <w:rsid w:val="00EC197A"/>
    <w:rsid w:val="00EC2763"/>
    <w:rsid w:val="00ED36A3"/>
    <w:rsid w:val="00ED548F"/>
    <w:rsid w:val="00ED5EE9"/>
    <w:rsid w:val="00EE19A2"/>
    <w:rsid w:val="00EE2726"/>
    <w:rsid w:val="00EF352D"/>
    <w:rsid w:val="00EF4076"/>
    <w:rsid w:val="00F005B8"/>
    <w:rsid w:val="00F00823"/>
    <w:rsid w:val="00F03150"/>
    <w:rsid w:val="00F0424A"/>
    <w:rsid w:val="00F20133"/>
    <w:rsid w:val="00F22A71"/>
    <w:rsid w:val="00F23922"/>
    <w:rsid w:val="00F23C0F"/>
    <w:rsid w:val="00F25965"/>
    <w:rsid w:val="00F31A33"/>
    <w:rsid w:val="00F3291B"/>
    <w:rsid w:val="00F32A17"/>
    <w:rsid w:val="00F352D9"/>
    <w:rsid w:val="00F37DB4"/>
    <w:rsid w:val="00F4265D"/>
    <w:rsid w:val="00F44C30"/>
    <w:rsid w:val="00F45B14"/>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7852"/>
    <w:rsid w:val="00FA0908"/>
    <w:rsid w:val="00FA11F3"/>
    <w:rsid w:val="00FA39C7"/>
    <w:rsid w:val="00FC0FBF"/>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Bodytext2">
    <w:name w:val="Body text (2)_"/>
    <w:basedOn w:val="DefaultParagraphFont"/>
    <w:link w:val="Bodytext20"/>
    <w:locked/>
    <w:rsid w:val="0084117D"/>
    <w:rPr>
      <w:rFonts w:ascii="Arial" w:eastAsia="Arial" w:hAnsi="Arial" w:cs="Arial"/>
      <w:shd w:val="clear" w:color="auto" w:fill="FFFFFF"/>
    </w:rPr>
  </w:style>
  <w:style w:type="paragraph" w:customStyle="1" w:styleId="Bodytext20">
    <w:name w:val="Body text (2)"/>
    <w:basedOn w:val="Normal"/>
    <w:link w:val="Bodytext2"/>
    <w:rsid w:val="0084117D"/>
    <w:pPr>
      <w:widowControl w:val="0"/>
      <w:shd w:val="clear" w:color="auto" w:fill="FFFFFF"/>
      <w:spacing w:before="480" w:line="398" w:lineRule="exact"/>
      <w:jc w:val="both"/>
    </w:pPr>
    <w:rPr>
      <w:rFonts w:ascii="Arial" w:eastAsia="Arial" w:hAnsi="Arial" w:cs="Arial"/>
      <w:sz w:val="20"/>
      <w:szCs w:val="20"/>
      <w:lang w:val="el-GR" w:eastAsia="el-GR"/>
    </w:rPr>
  </w:style>
  <w:style w:type="character" w:customStyle="1" w:styleId="fontstyle13">
    <w:name w:val="fontstyle13"/>
    <w:basedOn w:val="DefaultParagraphFont"/>
    <w:rsid w:val="007F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45658691">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2363565">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5384578">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788D-5E6B-461F-A9D6-2029B0CB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1716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2024-03-21T10:03:00Z</cp:lastPrinted>
  <dcterms:created xsi:type="dcterms:W3CDTF">2024-03-26T06:06:00Z</dcterms:created>
  <dcterms:modified xsi:type="dcterms:W3CDTF">2024-03-26T06:06:00Z</dcterms:modified>
</cp:coreProperties>
</file>